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191BE0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附件2 </w:t>
      </w:r>
    </w:p>
    <w:p w14:paraId="0CBF30DC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消费新业态新模式新场景试点绩效目标表</w:t>
      </w:r>
    </w:p>
    <w:p w14:paraId="3BBC0A2D"/>
    <w:tbl>
      <w:tblPr>
        <w:tblStyle w:val="4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4"/>
        <w:gridCol w:w="1740"/>
        <w:gridCol w:w="3870"/>
        <w:gridCol w:w="6405"/>
        <w:gridCol w:w="1445"/>
      </w:tblGrid>
      <w:tr w14:paraId="2EBD42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251" w:type="pct"/>
            <w:noWrap w:val="0"/>
            <w:vAlign w:val="center"/>
          </w:tcPr>
          <w:p w14:paraId="040D1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613" w:type="pct"/>
            <w:noWrap w:val="0"/>
            <w:vAlign w:val="center"/>
          </w:tcPr>
          <w:p w14:paraId="296F9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指标类别</w:t>
            </w:r>
          </w:p>
        </w:tc>
        <w:tc>
          <w:tcPr>
            <w:tcW w:w="1365" w:type="pct"/>
            <w:noWrap w:val="0"/>
            <w:vAlign w:val="center"/>
          </w:tcPr>
          <w:p w14:paraId="68B95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具体指标</w:t>
            </w:r>
          </w:p>
        </w:tc>
        <w:tc>
          <w:tcPr>
            <w:tcW w:w="2259" w:type="pct"/>
            <w:noWrap w:val="0"/>
            <w:vAlign w:val="center"/>
          </w:tcPr>
          <w:p w14:paraId="30D804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指标解释</w:t>
            </w:r>
          </w:p>
        </w:tc>
        <w:tc>
          <w:tcPr>
            <w:tcW w:w="509" w:type="pct"/>
            <w:noWrap w:val="0"/>
            <w:vAlign w:val="center"/>
          </w:tcPr>
          <w:p w14:paraId="3E067E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总体目标</w:t>
            </w:r>
          </w:p>
        </w:tc>
      </w:tr>
      <w:tr w14:paraId="480689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8" w:hRule="atLeast"/>
        </w:trPr>
        <w:tc>
          <w:tcPr>
            <w:tcW w:w="251" w:type="pct"/>
            <w:noWrap/>
            <w:vAlign w:val="center"/>
          </w:tcPr>
          <w:p w14:paraId="0C95A8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13" w:type="pct"/>
            <w:vMerge w:val="restart"/>
            <w:noWrap w:val="0"/>
            <w:vAlign w:val="center"/>
          </w:tcPr>
          <w:p w14:paraId="5712F27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消费新业态新模式新场景总体情况</w:t>
            </w:r>
          </w:p>
        </w:tc>
        <w:tc>
          <w:tcPr>
            <w:tcW w:w="1365" w:type="pct"/>
            <w:noWrap w:val="0"/>
            <w:vAlign w:val="center"/>
          </w:tcPr>
          <w:p w14:paraId="3EF0728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" w:eastAsia="zh-CN" w:bidi="ar"/>
              </w:rPr>
              <w:t>培育形成有利于</w:t>
            </w:r>
            <w:r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" w:eastAsia="zh-CN" w:bidi="ar"/>
              </w:rPr>
              <w:t>消费新业态新模式新场景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" w:eastAsia="zh-CN" w:bidi="ar"/>
              </w:rPr>
              <w:t>发展</w:t>
            </w:r>
            <w:r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" w:eastAsia="zh-CN" w:bidi="ar"/>
              </w:rPr>
              <w:t>的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" w:eastAsia="zh-CN" w:bidi="ar"/>
              </w:rPr>
              <w:t>营商环境</w:t>
            </w:r>
          </w:p>
        </w:tc>
        <w:tc>
          <w:tcPr>
            <w:tcW w:w="2259" w:type="pct"/>
            <w:noWrap w:val="0"/>
            <w:vAlign w:val="center"/>
          </w:tcPr>
          <w:p w14:paraId="7F9A35F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建立促进</w:t>
            </w:r>
            <w:r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" w:eastAsia="zh-CN" w:bidi="ar"/>
              </w:rPr>
              <w:t>消费新业态新模式新场景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" w:eastAsia="zh-CN" w:bidi="ar"/>
              </w:rPr>
              <w:t>发展的工作机制，推动破解制约消费供给创新的问题困难，构建支持消费业态模式场景创新的政策体系。</w:t>
            </w:r>
          </w:p>
        </w:tc>
        <w:tc>
          <w:tcPr>
            <w:tcW w:w="509" w:type="pct"/>
            <w:noWrap/>
            <w:vAlign w:val="center"/>
          </w:tcPr>
          <w:p w14:paraId="16DCB4E6">
            <w:pPr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59E2E8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5" w:hRule="atLeast"/>
        </w:trPr>
        <w:tc>
          <w:tcPr>
            <w:tcW w:w="251" w:type="pct"/>
            <w:noWrap/>
            <w:vAlign w:val="center"/>
          </w:tcPr>
          <w:p w14:paraId="25B0CE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613" w:type="pct"/>
            <w:vMerge w:val="continue"/>
            <w:noWrap w:val="0"/>
            <w:vAlign w:val="center"/>
          </w:tcPr>
          <w:p w14:paraId="78DAC141">
            <w:pPr>
              <w:jc w:val="both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5" w:type="pct"/>
            <w:noWrap w:val="0"/>
            <w:vAlign w:val="center"/>
          </w:tcPr>
          <w:p w14:paraId="689002F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消费供给质量有效提升</w:t>
            </w:r>
          </w:p>
        </w:tc>
        <w:tc>
          <w:tcPr>
            <w:tcW w:w="2259" w:type="pct"/>
            <w:noWrap w:val="0"/>
            <w:vAlign w:val="center"/>
          </w:tcPr>
          <w:p w14:paraId="38671D8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消费业态模式场景明显丰富，供给多样化水平有效提升，创新性消费供给持续涌现，有效激发消费活力。</w:t>
            </w:r>
          </w:p>
        </w:tc>
        <w:tc>
          <w:tcPr>
            <w:tcW w:w="509" w:type="pct"/>
            <w:noWrap/>
            <w:vAlign w:val="center"/>
          </w:tcPr>
          <w:p w14:paraId="16501CA0">
            <w:pPr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70C03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51" w:type="pct"/>
            <w:noWrap/>
            <w:vAlign w:val="center"/>
          </w:tcPr>
          <w:p w14:paraId="6DE0D1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613" w:type="pct"/>
            <w:vMerge w:val="continue"/>
            <w:noWrap w:val="0"/>
            <w:vAlign w:val="center"/>
          </w:tcPr>
          <w:p w14:paraId="5A1D7AD3">
            <w:pPr>
              <w:jc w:val="both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5" w:type="pct"/>
            <w:noWrap w:val="0"/>
            <w:vAlign w:val="center"/>
          </w:tcPr>
          <w:p w14:paraId="09CA43E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消费规模进一步扩大</w:t>
            </w:r>
          </w:p>
        </w:tc>
        <w:tc>
          <w:tcPr>
            <w:tcW w:w="2259" w:type="pct"/>
            <w:noWrap w:val="0"/>
            <w:vAlign w:val="center"/>
          </w:tcPr>
          <w:p w14:paraId="541060C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城市社会消费品零售总额、居民人均服务性消费支出等进一步增长，消费对经济发展的带动作用进一步增强。</w:t>
            </w:r>
          </w:p>
        </w:tc>
        <w:tc>
          <w:tcPr>
            <w:tcW w:w="509" w:type="pct"/>
            <w:noWrap/>
            <w:vAlign w:val="center"/>
          </w:tcPr>
          <w:p w14:paraId="19C2D3B5">
            <w:pPr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61EDF1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251" w:type="pct"/>
            <w:noWrap/>
            <w:vAlign w:val="center"/>
          </w:tcPr>
          <w:p w14:paraId="7EDA0D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613" w:type="pct"/>
            <w:vMerge w:val="continue"/>
            <w:noWrap w:val="0"/>
            <w:vAlign w:val="center"/>
          </w:tcPr>
          <w:p w14:paraId="6D188782">
            <w:pPr>
              <w:jc w:val="both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5" w:type="pct"/>
            <w:noWrap w:val="0"/>
            <w:vAlign w:val="center"/>
          </w:tcPr>
          <w:p w14:paraId="73E5CDF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带动总体投资额（亿元）</w:t>
            </w:r>
          </w:p>
        </w:tc>
        <w:tc>
          <w:tcPr>
            <w:tcW w:w="2259" w:type="pct"/>
            <w:noWrap w:val="0"/>
            <w:vAlign w:val="center"/>
          </w:tcPr>
          <w:p w14:paraId="7BBA14F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消费新业态新模式新场景试点政策支持的所有项目合计投资金额。</w:t>
            </w:r>
          </w:p>
        </w:tc>
        <w:tc>
          <w:tcPr>
            <w:tcW w:w="509" w:type="pct"/>
            <w:noWrap/>
            <w:vAlign w:val="center"/>
          </w:tcPr>
          <w:p w14:paraId="4DA3F96B">
            <w:pPr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0C5C09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9" w:hRule="atLeast"/>
        </w:trPr>
        <w:tc>
          <w:tcPr>
            <w:tcW w:w="251" w:type="pct"/>
            <w:noWrap/>
            <w:vAlign w:val="center"/>
          </w:tcPr>
          <w:p w14:paraId="1D303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613" w:type="pct"/>
            <w:vMerge w:val="restart"/>
            <w:noWrap w:val="0"/>
            <w:vAlign w:val="center"/>
          </w:tcPr>
          <w:p w14:paraId="324F4AB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健全首发经济服务体系</w:t>
            </w:r>
          </w:p>
        </w:tc>
        <w:tc>
          <w:tcPr>
            <w:tcW w:w="1365" w:type="pct"/>
            <w:noWrap w:val="0"/>
            <w:vAlign w:val="center"/>
          </w:tcPr>
          <w:p w14:paraId="54BF6B9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建设首发中心、首发经济集聚区数量（个）</w:t>
            </w:r>
          </w:p>
        </w:tc>
        <w:tc>
          <w:tcPr>
            <w:tcW w:w="2259" w:type="pct"/>
            <w:noWrap w:val="0"/>
            <w:vAlign w:val="center"/>
          </w:tcPr>
          <w:p w14:paraId="62A3F19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支持建设完成的首发中心、首发经济集聚区数量。</w:t>
            </w:r>
          </w:p>
        </w:tc>
        <w:tc>
          <w:tcPr>
            <w:tcW w:w="509" w:type="pct"/>
            <w:noWrap/>
            <w:vAlign w:val="center"/>
          </w:tcPr>
          <w:p w14:paraId="46C16F7F">
            <w:pPr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3F2BA6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6" w:hRule="atLeast"/>
        </w:trPr>
        <w:tc>
          <w:tcPr>
            <w:tcW w:w="251" w:type="pct"/>
            <w:noWrap/>
            <w:vAlign w:val="center"/>
          </w:tcPr>
          <w:p w14:paraId="7D4B4D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6</w:t>
            </w:r>
          </w:p>
        </w:tc>
        <w:tc>
          <w:tcPr>
            <w:tcW w:w="613" w:type="pct"/>
            <w:vMerge w:val="continue"/>
            <w:noWrap w:val="0"/>
            <w:vAlign w:val="center"/>
          </w:tcPr>
          <w:p w14:paraId="2A57820B">
            <w:pPr>
              <w:jc w:val="both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5" w:type="pct"/>
            <w:noWrap w:val="0"/>
            <w:vAlign w:val="center"/>
          </w:tcPr>
          <w:p w14:paraId="761EE3A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支持具有引领性的国内外品牌开设首店数量（个）</w:t>
            </w:r>
          </w:p>
        </w:tc>
        <w:tc>
          <w:tcPr>
            <w:tcW w:w="2259" w:type="pct"/>
            <w:noWrap w:val="0"/>
            <w:vAlign w:val="center"/>
          </w:tcPr>
          <w:p w14:paraId="0148EB8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新投入营业的具有引领性的国内外品牌开设高能级首店、旗舰店、概念店数量。</w:t>
            </w:r>
          </w:p>
        </w:tc>
        <w:tc>
          <w:tcPr>
            <w:tcW w:w="509" w:type="pct"/>
            <w:noWrap/>
            <w:vAlign w:val="center"/>
          </w:tcPr>
          <w:p w14:paraId="01E8EF58">
            <w:pPr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5BD7F7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</w:trPr>
        <w:tc>
          <w:tcPr>
            <w:tcW w:w="251" w:type="pct"/>
            <w:noWrap/>
            <w:vAlign w:val="center"/>
          </w:tcPr>
          <w:p w14:paraId="7A171F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7</w:t>
            </w:r>
          </w:p>
        </w:tc>
        <w:tc>
          <w:tcPr>
            <w:tcW w:w="613" w:type="pct"/>
            <w:vMerge w:val="continue"/>
            <w:noWrap w:val="0"/>
            <w:vAlign w:val="center"/>
          </w:tcPr>
          <w:p w14:paraId="7FF737FE">
            <w:pPr>
              <w:jc w:val="both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5" w:type="pct"/>
            <w:noWrap w:val="0"/>
            <w:vAlign w:val="center"/>
          </w:tcPr>
          <w:p w14:paraId="36538A2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支持举办首发、首秀、首展活动数量（个）</w:t>
            </w:r>
          </w:p>
        </w:tc>
        <w:tc>
          <w:tcPr>
            <w:tcW w:w="2259" w:type="pct"/>
            <w:noWrap w:val="0"/>
            <w:vAlign w:val="center"/>
          </w:tcPr>
          <w:p w14:paraId="6541CDC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举办相关活动数量。</w:t>
            </w:r>
          </w:p>
        </w:tc>
        <w:tc>
          <w:tcPr>
            <w:tcW w:w="509" w:type="pct"/>
            <w:noWrap/>
            <w:vAlign w:val="center"/>
          </w:tcPr>
          <w:p w14:paraId="1205A08B">
            <w:pPr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680923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</w:trPr>
        <w:tc>
          <w:tcPr>
            <w:tcW w:w="251" w:type="pct"/>
            <w:noWrap/>
            <w:vAlign w:val="center"/>
          </w:tcPr>
          <w:p w14:paraId="552417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8</w:t>
            </w:r>
          </w:p>
        </w:tc>
        <w:tc>
          <w:tcPr>
            <w:tcW w:w="613" w:type="pct"/>
            <w:vMerge w:val="continue"/>
            <w:noWrap w:val="0"/>
            <w:vAlign w:val="center"/>
          </w:tcPr>
          <w:p w14:paraId="3AF499E9">
            <w:pPr>
              <w:jc w:val="both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5" w:type="pct"/>
            <w:noWrap w:val="0"/>
            <w:vAlign w:val="center"/>
          </w:tcPr>
          <w:p w14:paraId="5A31FD0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支持开设首发专区、专场的展会活动数量（个）</w:t>
            </w:r>
          </w:p>
        </w:tc>
        <w:tc>
          <w:tcPr>
            <w:tcW w:w="2259" w:type="pct"/>
            <w:noWrap w:val="0"/>
            <w:vAlign w:val="center"/>
          </w:tcPr>
          <w:p w14:paraId="5EB518A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开设首发专区、专场的展会数量。</w:t>
            </w:r>
          </w:p>
        </w:tc>
        <w:tc>
          <w:tcPr>
            <w:tcW w:w="509" w:type="pct"/>
            <w:noWrap/>
            <w:vAlign w:val="center"/>
          </w:tcPr>
          <w:p w14:paraId="14862947">
            <w:pPr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7DA8A9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0" w:hRule="atLeast"/>
        </w:trPr>
        <w:tc>
          <w:tcPr>
            <w:tcW w:w="251" w:type="pct"/>
            <w:noWrap/>
            <w:vAlign w:val="center"/>
          </w:tcPr>
          <w:p w14:paraId="721267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9</w:t>
            </w:r>
          </w:p>
        </w:tc>
        <w:tc>
          <w:tcPr>
            <w:tcW w:w="613" w:type="pct"/>
            <w:vMerge w:val="restart"/>
            <w:noWrap w:val="0"/>
            <w:vAlign w:val="center"/>
          </w:tcPr>
          <w:p w14:paraId="7569262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创新多元化服务消费场景</w:t>
            </w:r>
          </w:p>
        </w:tc>
        <w:tc>
          <w:tcPr>
            <w:tcW w:w="1365" w:type="pct"/>
            <w:noWrap w:val="0"/>
            <w:vAlign w:val="center"/>
          </w:tcPr>
          <w:p w14:paraId="7AA2BA6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商旅文体健融合场景数量（个）</w:t>
            </w:r>
          </w:p>
        </w:tc>
        <w:tc>
          <w:tcPr>
            <w:tcW w:w="2259" w:type="pct"/>
            <w:noWrap w:val="0"/>
            <w:vAlign w:val="center"/>
          </w:tcPr>
          <w:p w14:paraId="2A260B9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新投用的商旅文体健融合场景项目数量。</w:t>
            </w:r>
          </w:p>
        </w:tc>
        <w:tc>
          <w:tcPr>
            <w:tcW w:w="509" w:type="pct"/>
            <w:noWrap/>
            <w:vAlign w:val="center"/>
          </w:tcPr>
          <w:p w14:paraId="238B38DC">
            <w:pPr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494A5C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0" w:hRule="atLeast"/>
        </w:trPr>
        <w:tc>
          <w:tcPr>
            <w:tcW w:w="251" w:type="pct"/>
            <w:noWrap/>
            <w:vAlign w:val="center"/>
          </w:tcPr>
          <w:p w14:paraId="1DF47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613" w:type="pct"/>
            <w:vMerge w:val="continue"/>
            <w:noWrap w:val="0"/>
            <w:vAlign w:val="center"/>
          </w:tcPr>
          <w:p w14:paraId="58D5DC95">
            <w:pPr>
              <w:jc w:val="both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5" w:type="pct"/>
            <w:noWrap w:val="0"/>
            <w:vAlign w:val="center"/>
          </w:tcPr>
          <w:p w14:paraId="724AC1B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服务消费集聚区建设数量（个）</w:t>
            </w:r>
          </w:p>
        </w:tc>
        <w:tc>
          <w:tcPr>
            <w:tcW w:w="2259" w:type="pct"/>
            <w:noWrap w:val="0"/>
            <w:vAlign w:val="center"/>
          </w:tcPr>
          <w:p w14:paraId="4578CC2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支持重点商圈、特色商业街区、文旅集聚区、会展场馆、传统购物型商超、废旧工业厂区向多元消费场景升级、扩展服务消费功能的项目数量，包含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银发金街、童趣乐园、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夜间文化和旅游消费集聚区数量。</w:t>
            </w:r>
          </w:p>
        </w:tc>
        <w:tc>
          <w:tcPr>
            <w:tcW w:w="509" w:type="pct"/>
            <w:noWrap/>
            <w:vAlign w:val="center"/>
          </w:tcPr>
          <w:p w14:paraId="501DE212">
            <w:pPr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23AC43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0" w:hRule="atLeast"/>
        </w:trPr>
        <w:tc>
          <w:tcPr>
            <w:tcW w:w="251" w:type="pct"/>
            <w:noWrap/>
            <w:vAlign w:val="center"/>
          </w:tcPr>
          <w:p w14:paraId="0DBBAA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613" w:type="pct"/>
            <w:vMerge w:val="continue"/>
            <w:noWrap w:val="0"/>
            <w:vAlign w:val="center"/>
          </w:tcPr>
          <w:p w14:paraId="4F8C86DD">
            <w:pPr>
              <w:jc w:val="both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5" w:type="pct"/>
            <w:noWrap w:val="0"/>
            <w:vAlign w:val="center"/>
          </w:tcPr>
          <w:p w14:paraId="74211DE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重点</w:t>
            </w:r>
            <w:r>
              <w:rPr>
                <w:rStyle w:val="6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赛事活动及演出“进商圈、进街区、进景区”活动数量（场次）</w:t>
            </w:r>
          </w:p>
        </w:tc>
        <w:tc>
          <w:tcPr>
            <w:tcW w:w="2259" w:type="pct"/>
            <w:noWrap w:val="0"/>
            <w:vAlign w:val="center"/>
          </w:tcPr>
          <w:p w14:paraId="29082A5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在商圈、街区、景区开展体育赛事活动和演出的场次数量，系列赛或系列演出的不同场次可分别计算场次。</w:t>
            </w:r>
          </w:p>
        </w:tc>
        <w:tc>
          <w:tcPr>
            <w:tcW w:w="509" w:type="pct"/>
            <w:noWrap/>
            <w:vAlign w:val="center"/>
          </w:tcPr>
          <w:p w14:paraId="5A7CE2DE">
            <w:pPr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413959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0" w:hRule="atLeast"/>
        </w:trPr>
        <w:tc>
          <w:tcPr>
            <w:tcW w:w="251" w:type="pct"/>
            <w:noWrap/>
            <w:vAlign w:val="center"/>
          </w:tcPr>
          <w:p w14:paraId="00A35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613" w:type="pct"/>
            <w:vMerge w:val="continue"/>
            <w:noWrap w:val="0"/>
            <w:vAlign w:val="center"/>
          </w:tcPr>
          <w:p w14:paraId="7E2A14C9">
            <w:pPr>
              <w:jc w:val="both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5" w:type="pct"/>
            <w:noWrap w:val="0"/>
            <w:vAlign w:val="center"/>
          </w:tcPr>
          <w:p w14:paraId="653D414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支持新业态新模式数量（个）</w:t>
            </w:r>
          </w:p>
        </w:tc>
        <w:tc>
          <w:tcPr>
            <w:tcW w:w="2259" w:type="pct"/>
            <w:noWrap/>
            <w:vAlign w:val="center"/>
          </w:tcPr>
          <w:p w14:paraId="3DB9210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支持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培育汽车后市场服务、旅居服务、演出服务、冰雪经济、体育赛事、旅游列车等服务消费新增长点，发展艺术展览、沉浸体验、数字艺术、房车露营等消费场景，以及促进家政等领域新业态新模式发展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的项目数量。</w:t>
            </w:r>
          </w:p>
        </w:tc>
        <w:tc>
          <w:tcPr>
            <w:tcW w:w="509" w:type="pct"/>
            <w:noWrap/>
            <w:vAlign w:val="center"/>
          </w:tcPr>
          <w:p w14:paraId="094CF34C">
            <w:pPr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330530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5" w:hRule="atLeast"/>
        </w:trPr>
        <w:tc>
          <w:tcPr>
            <w:tcW w:w="251" w:type="pct"/>
            <w:noWrap/>
            <w:vAlign w:val="center"/>
          </w:tcPr>
          <w:p w14:paraId="7E16A2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613" w:type="pct"/>
            <w:vMerge w:val="continue"/>
            <w:noWrap w:val="0"/>
            <w:vAlign w:val="center"/>
          </w:tcPr>
          <w:p w14:paraId="2263FE52">
            <w:pPr>
              <w:jc w:val="both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5" w:type="pct"/>
            <w:noWrap w:val="0"/>
            <w:vAlign w:val="center"/>
          </w:tcPr>
          <w:p w14:paraId="7640FFA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完善外贸优品消费场景建设数量（个）</w:t>
            </w:r>
          </w:p>
        </w:tc>
        <w:tc>
          <w:tcPr>
            <w:tcW w:w="2259" w:type="pct"/>
            <w:noWrap/>
            <w:vAlign w:val="center"/>
          </w:tcPr>
          <w:p w14:paraId="241C702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支持外贸优品展销中心、特色购物中心、外贸优品品牌集聚的特色商业街区等特色消费场景项目数量。</w:t>
            </w:r>
          </w:p>
        </w:tc>
        <w:tc>
          <w:tcPr>
            <w:tcW w:w="509" w:type="pct"/>
            <w:noWrap/>
            <w:vAlign w:val="center"/>
          </w:tcPr>
          <w:p w14:paraId="3F190FB1">
            <w:pPr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194771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3" w:hRule="atLeast"/>
        </w:trPr>
        <w:tc>
          <w:tcPr>
            <w:tcW w:w="251" w:type="pct"/>
            <w:noWrap/>
            <w:vAlign w:val="center"/>
          </w:tcPr>
          <w:p w14:paraId="69D7FA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613" w:type="pct"/>
            <w:vMerge w:val="restart"/>
            <w:noWrap w:val="0"/>
            <w:vAlign w:val="center"/>
          </w:tcPr>
          <w:p w14:paraId="0EB61D5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优质消费资源与知名IP跨界联名</w:t>
            </w:r>
          </w:p>
        </w:tc>
        <w:tc>
          <w:tcPr>
            <w:tcW w:w="1365" w:type="pct"/>
            <w:noWrap w:val="0"/>
            <w:vAlign w:val="center"/>
          </w:tcPr>
          <w:p w14:paraId="1CA0A3E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仿宋_GB2312" w:eastAsia="仿宋_GB2312" w:cs="仿宋_GB2312"/>
                <w:i w:val="0"/>
                <w:strike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trike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培育和转化IP数量（个）</w:t>
            </w:r>
          </w:p>
        </w:tc>
        <w:tc>
          <w:tcPr>
            <w:tcW w:w="2259" w:type="pct"/>
            <w:noWrap w:val="0"/>
            <w:vAlign w:val="center"/>
          </w:tcPr>
          <w:p w14:paraId="0DA4E50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依托IP设计、孵化平台自主培育并进行商业转化的IP数量。</w:t>
            </w:r>
          </w:p>
        </w:tc>
        <w:tc>
          <w:tcPr>
            <w:tcW w:w="509" w:type="pct"/>
            <w:noWrap/>
            <w:vAlign w:val="center"/>
          </w:tcPr>
          <w:p w14:paraId="2105594E">
            <w:pPr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532834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1" w:hRule="atLeast"/>
        </w:trPr>
        <w:tc>
          <w:tcPr>
            <w:tcW w:w="251" w:type="pct"/>
            <w:noWrap/>
            <w:vAlign w:val="center"/>
          </w:tcPr>
          <w:p w14:paraId="7F96E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613" w:type="pct"/>
            <w:vMerge w:val="continue"/>
            <w:noWrap w:val="0"/>
            <w:vAlign w:val="center"/>
          </w:tcPr>
          <w:p w14:paraId="0D309339">
            <w:pPr>
              <w:jc w:val="both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5" w:type="pct"/>
            <w:noWrap w:val="0"/>
            <w:vAlign w:val="center"/>
          </w:tcPr>
          <w:p w14:paraId="5B1B30B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开设IP主题店、概念店、联名店数量（个）</w:t>
            </w:r>
          </w:p>
        </w:tc>
        <w:tc>
          <w:tcPr>
            <w:tcW w:w="2259" w:type="pct"/>
            <w:noWrap w:val="0"/>
            <w:vAlign w:val="center"/>
          </w:tcPr>
          <w:p w14:paraId="7A60A32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支持IP品牌企业开设线下主题店、概念店，或与老字号、新消费品牌等优质消费资源开设跨界联名店数量。</w:t>
            </w:r>
          </w:p>
        </w:tc>
        <w:tc>
          <w:tcPr>
            <w:tcW w:w="509" w:type="pct"/>
            <w:noWrap/>
            <w:vAlign w:val="center"/>
          </w:tcPr>
          <w:p w14:paraId="1F69B96D">
            <w:pPr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4A554F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5" w:hRule="atLeast"/>
        </w:trPr>
        <w:tc>
          <w:tcPr>
            <w:tcW w:w="251" w:type="pct"/>
            <w:noWrap/>
            <w:vAlign w:val="center"/>
          </w:tcPr>
          <w:p w14:paraId="36D1F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16</w:t>
            </w:r>
          </w:p>
        </w:tc>
        <w:tc>
          <w:tcPr>
            <w:tcW w:w="613" w:type="pct"/>
            <w:vMerge w:val="continue"/>
            <w:noWrap w:val="0"/>
            <w:vAlign w:val="center"/>
          </w:tcPr>
          <w:p w14:paraId="16A64964">
            <w:pPr>
              <w:jc w:val="both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5" w:type="pct"/>
            <w:noWrap w:val="0"/>
            <w:vAlign w:val="center"/>
          </w:tcPr>
          <w:p w14:paraId="4101DAE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培育“IP+”新消费场景数量（个）</w:t>
            </w:r>
          </w:p>
        </w:tc>
        <w:tc>
          <w:tcPr>
            <w:tcW w:w="2259" w:type="pct"/>
            <w:noWrap w:val="0"/>
            <w:vAlign w:val="center"/>
          </w:tcPr>
          <w:p w14:paraId="654CF51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围绕本地特色文化，联动国潮动漫影视IP及文博场馆、非遗机构、历史文化名城等传统资源，推出的综合性消费性场景数量、游购路线数量。</w:t>
            </w:r>
          </w:p>
        </w:tc>
        <w:tc>
          <w:tcPr>
            <w:tcW w:w="509" w:type="pct"/>
            <w:noWrap/>
            <w:vAlign w:val="center"/>
          </w:tcPr>
          <w:p w14:paraId="20FCD472">
            <w:pPr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543048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6" w:hRule="atLeast"/>
        </w:trPr>
        <w:tc>
          <w:tcPr>
            <w:tcW w:w="251" w:type="pct"/>
            <w:noWrap/>
            <w:vAlign w:val="center"/>
          </w:tcPr>
          <w:p w14:paraId="2DFBBC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17</w:t>
            </w:r>
          </w:p>
        </w:tc>
        <w:tc>
          <w:tcPr>
            <w:tcW w:w="613" w:type="pct"/>
            <w:vMerge w:val="continue"/>
            <w:noWrap w:val="0"/>
            <w:vAlign w:val="center"/>
          </w:tcPr>
          <w:p w14:paraId="6FB94C85">
            <w:pPr>
              <w:jc w:val="both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5" w:type="pct"/>
            <w:noWrap w:val="0"/>
            <w:vAlign w:val="center"/>
          </w:tcPr>
          <w:p w14:paraId="7777323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“人工智能+消费”集聚区建设数量（个）</w:t>
            </w:r>
          </w:p>
        </w:tc>
        <w:tc>
          <w:tcPr>
            <w:tcW w:w="2259" w:type="pct"/>
            <w:noWrap w:val="0"/>
            <w:vAlign w:val="center"/>
          </w:tcPr>
          <w:p w14:paraId="097E56B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集聚优质资源打造人工智能消费集聚区，建设人工智能体验中心、展销中心等数量。</w:t>
            </w:r>
          </w:p>
        </w:tc>
        <w:tc>
          <w:tcPr>
            <w:tcW w:w="509" w:type="pct"/>
            <w:noWrap/>
            <w:vAlign w:val="center"/>
          </w:tcPr>
          <w:p w14:paraId="7DB8DE7E">
            <w:pPr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408797DE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仿宋_GB2312" w:hAnsi="仿宋_GB2312" w:eastAsia="仿宋_GB2312" w:cs="仿宋_GB2312"/>
          <w:i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 w14:paraId="61B7E3CB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仿宋_GB2312" w:hAnsi="仿宋_GB2312" w:eastAsia="仿宋_GB2312" w:cs="仿宋_GB2312"/>
          <w:i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color w:val="000000"/>
          <w:kern w:val="0"/>
          <w:sz w:val="24"/>
          <w:szCs w:val="24"/>
          <w:u w:val="none"/>
          <w:lang w:val="en-US" w:eastAsia="zh-CN" w:bidi="ar"/>
        </w:rPr>
        <w:t>备注：1.序号1-4为必填项，其余指标绩效结合地方试点内容填报。凡建设项目清单中项目涉及的支持方向，均应填写相应的绩效指</w:t>
      </w:r>
    </w:p>
    <w:p w14:paraId="0FB6FA9B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仿宋_GB2312" w:hAnsi="仿宋_GB2312" w:eastAsia="仿宋_GB2312" w:cs="仿宋_GB2312"/>
          <w:i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color w:val="000000"/>
          <w:kern w:val="0"/>
          <w:sz w:val="24"/>
          <w:szCs w:val="24"/>
          <w:u w:val="none"/>
          <w:lang w:val="en-US" w:eastAsia="zh-CN" w:bidi="ar"/>
        </w:rPr>
        <w:t xml:space="preserve">        标。</w:t>
      </w:r>
    </w:p>
    <w:p w14:paraId="5DD4EB5F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仿宋_GB2312" w:hAnsi="仿宋_GB2312" w:eastAsia="仿宋_GB2312" w:cs="仿宋_GB2312"/>
          <w:i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color w:val="000000"/>
          <w:kern w:val="0"/>
          <w:sz w:val="24"/>
          <w:szCs w:val="24"/>
          <w:u w:val="none"/>
          <w:lang w:val="en-US" w:eastAsia="zh-CN" w:bidi="ar"/>
        </w:rPr>
        <w:t xml:space="preserve">      2.本表仅作为编制实施方案提纲的参考。</w:t>
      </w:r>
    </w:p>
    <w:sectPr>
      <w:footerReference r:id="rId3" w:type="default"/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513F5E">
    <w:pPr>
      <w:pStyle w:val="2"/>
    </w:pPr>
    <w:r>
      <w:rPr>
        <w:sz w:val="18"/>
      </w:rPr>
      <w:pict>
        <v:shape id="_x0000_s2049" o:spid="_x0000_s2049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22D59544">
                <w:pPr>
                  <w:pStyle w:val="2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FF7F74CB"/>
    <w:rsid w:val="1BD1CA71"/>
    <w:rsid w:val="225E720C"/>
    <w:rsid w:val="276D2AA3"/>
    <w:rsid w:val="2F5B2567"/>
    <w:rsid w:val="2F9E0755"/>
    <w:rsid w:val="37EE692B"/>
    <w:rsid w:val="3BFD586B"/>
    <w:rsid w:val="3D9F8FE9"/>
    <w:rsid w:val="3DFFC674"/>
    <w:rsid w:val="3EF2FFF8"/>
    <w:rsid w:val="3FB9A9D1"/>
    <w:rsid w:val="3FFB8711"/>
    <w:rsid w:val="4CED67EE"/>
    <w:rsid w:val="57F7BC6F"/>
    <w:rsid w:val="5BF7F94D"/>
    <w:rsid w:val="5CC9A475"/>
    <w:rsid w:val="5DDF23C7"/>
    <w:rsid w:val="68B6F7ED"/>
    <w:rsid w:val="6DD70F6C"/>
    <w:rsid w:val="6DF70C7A"/>
    <w:rsid w:val="6E140573"/>
    <w:rsid w:val="6FFE556B"/>
    <w:rsid w:val="73B29673"/>
    <w:rsid w:val="73DCE8DE"/>
    <w:rsid w:val="75FF80C2"/>
    <w:rsid w:val="77DFE714"/>
    <w:rsid w:val="77FF047A"/>
    <w:rsid w:val="7EEDB6F4"/>
    <w:rsid w:val="7F3F544C"/>
    <w:rsid w:val="7F5A4FA4"/>
    <w:rsid w:val="7F7F8A40"/>
    <w:rsid w:val="7FEB9161"/>
    <w:rsid w:val="7FEF86A9"/>
    <w:rsid w:val="7FF91E2C"/>
    <w:rsid w:val="7FFD48F7"/>
    <w:rsid w:val="7FFF238E"/>
    <w:rsid w:val="7FFF456C"/>
    <w:rsid w:val="7FFFA963"/>
    <w:rsid w:val="97BB9CCB"/>
    <w:rsid w:val="9FFEBEFA"/>
    <w:rsid w:val="A6DA6718"/>
    <w:rsid w:val="A7AFC92B"/>
    <w:rsid w:val="ABC7EFBF"/>
    <w:rsid w:val="ABFC9177"/>
    <w:rsid w:val="AEFFB995"/>
    <w:rsid w:val="AF7F9EAF"/>
    <w:rsid w:val="B7DFADB4"/>
    <w:rsid w:val="BB9FCD1A"/>
    <w:rsid w:val="BBEFC04C"/>
    <w:rsid w:val="BDA1F407"/>
    <w:rsid w:val="BED91F4B"/>
    <w:rsid w:val="CAFEDAFA"/>
    <w:rsid w:val="CBF73B0F"/>
    <w:rsid w:val="CFFFCF1D"/>
    <w:rsid w:val="D4B4DE77"/>
    <w:rsid w:val="D4FFB677"/>
    <w:rsid w:val="DD6FEE90"/>
    <w:rsid w:val="DD996663"/>
    <w:rsid w:val="DFEE977B"/>
    <w:rsid w:val="E1DFFC19"/>
    <w:rsid w:val="ED75D51F"/>
    <w:rsid w:val="EE7FB24D"/>
    <w:rsid w:val="F72E27FC"/>
    <w:rsid w:val="F78F79BF"/>
    <w:rsid w:val="FE7FFF06"/>
    <w:rsid w:val="FF4FD12D"/>
    <w:rsid w:val="FF6DCECA"/>
    <w:rsid w:val="FF7F74CB"/>
    <w:rsid w:val="FFB92197"/>
    <w:rsid w:val="FFC7364C"/>
    <w:rsid w:val="FFC73C6F"/>
    <w:rsid w:val="FFE2E0E2"/>
    <w:rsid w:val="FFEF744C"/>
    <w:rsid w:val="FFF5C6A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6">
    <w:name w:val="font11"/>
    <w:basedOn w:val="5"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2049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2025-09-11T01:46:00Z</dcterms:created>
  <dc:creator>lihao</dc:creator>
  <cp:lastModifiedBy>WPS_1620267379</cp:lastModifiedBy>
  <cp:lastPrinted>2025-09-26T20:13:15Z</cp:lastPrinted>
  <dcterms:modified xsi:type="dcterms:W3CDTF">2025-10-21T08:26:01Z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9D2338333074490391E6AE42A6D0AE91_13</vt:lpwstr>
  </property>
</Properties>
</file>