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eastAsia" w:ascii="黑体" w:hAnsi="黑体" w:eastAsia="黑体" w:cs="黑体"/>
          <w:spacing w:val="-11"/>
          <w:sz w:val="31"/>
          <w:szCs w:val="31"/>
        </w:rPr>
      </w:pPr>
    </w:p>
    <w:p>
      <w:pPr>
        <w:spacing w:line="700" w:lineRule="exact"/>
        <w:jc w:val="left"/>
        <w:rPr>
          <w:rFonts w:hint="eastAsia" w:ascii="黑体" w:hAnsi="黑体" w:eastAsia="黑体" w:cs="黑体"/>
          <w:spacing w:val="-11"/>
          <w:szCs w:val="21"/>
        </w:rPr>
      </w:pPr>
    </w:p>
    <w:p>
      <w:pPr>
        <w:spacing w:line="700" w:lineRule="exact"/>
        <w:jc w:val="left"/>
        <w:rPr>
          <w:rFonts w:hint="eastAsia" w:ascii="黑体" w:hAnsi="黑体" w:eastAsia="黑体" w:cs="黑体"/>
          <w:spacing w:val="-11"/>
          <w:szCs w:val="21"/>
        </w:rPr>
      </w:pPr>
    </w:p>
    <w:p>
      <w:pPr>
        <w:spacing w:line="700" w:lineRule="exact"/>
        <w:jc w:val="center"/>
        <w:rPr>
          <w:rFonts w:hint="eastAsia" w:ascii="方正小标宋简体" w:hAnsi="方正小标宋简体" w:eastAsia="方正小标宋简体" w:cs="方正小标宋简体"/>
          <w:spacing w:val="-11"/>
          <w:sz w:val="43"/>
          <w:szCs w:val="43"/>
        </w:rPr>
      </w:pPr>
      <w:r>
        <w:rPr>
          <w:rFonts w:hint="eastAsia" w:ascii="方正小标宋简体" w:hAnsi="方正小标宋简体" w:eastAsia="方正小标宋简体" w:cs="方正小标宋简体"/>
          <w:spacing w:val="-11"/>
          <w:sz w:val="43"/>
          <w:szCs w:val="43"/>
        </w:rPr>
        <w:t>鄂尔多斯市家政服务业市场主体信用分级分类</w:t>
      </w:r>
    </w:p>
    <w:p>
      <w:pPr>
        <w:spacing w:line="700" w:lineRule="exact"/>
        <w:jc w:val="center"/>
        <w:rPr>
          <w:rFonts w:hint="eastAsia" w:ascii="方正仿宋_GB2312" w:hAnsi="方正仿宋_GB2312" w:eastAsia="方正仿宋_GB2312" w:cs="方正仿宋_GB2312"/>
          <w:sz w:val="32"/>
          <w:szCs w:val="32"/>
        </w:rPr>
      </w:pPr>
      <w:r>
        <w:rPr>
          <w:rFonts w:hint="eastAsia" w:ascii="方正小标宋简体" w:hAnsi="方正小标宋简体" w:eastAsia="方正小标宋简体" w:cs="方正小标宋简体"/>
          <w:spacing w:val="-11"/>
          <w:kern w:val="22"/>
          <w:position w:val="6"/>
          <w:sz w:val="43"/>
          <w:szCs w:val="43"/>
        </w:rPr>
        <w:t>管理办法（征求意见稿）</w:t>
      </w:r>
      <w:r>
        <w:rPr>
          <w:rFonts w:hint="eastAsia" w:ascii="方正仿宋_GB2312" w:hAnsi="方正仿宋_GB2312" w:eastAsia="方正仿宋_GB2312" w:cs="方正仿宋_GB2312"/>
          <w:sz w:val="32"/>
          <w:szCs w:val="32"/>
        </w:rPr>
        <w:t>​</w:t>
      </w:r>
    </w:p>
    <w:p>
      <w:pPr>
        <w:spacing w:line="700" w:lineRule="exact"/>
        <w:jc w:val="center"/>
        <w:rPr>
          <w:rFonts w:hint="eastAsia" w:ascii="方正仿宋_GB2312" w:hAnsi="方正仿宋_GB2312" w:eastAsia="方正仿宋_GB2312" w:cs="方正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kern w:val="2"/>
          <w:sz w:val="32"/>
          <w:szCs w:val="32"/>
          <w:lang w:val="en-US" w:eastAsia="zh-CN" w:bidi="ar-SA"/>
        </w:rPr>
        <w:t xml:space="preserve">第一章 </w:t>
      </w:r>
      <w:r>
        <w:rPr>
          <w:rFonts w:hint="eastAsia" w:ascii="黑体" w:hAnsi="黑体" w:eastAsia="黑体" w:cs="黑体"/>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b w:val="0"/>
          <w:bCs w:val="0"/>
          <w:color w:val="000000"/>
          <w:spacing w:val="-17"/>
          <w:sz w:val="32"/>
          <w:szCs w:val="32"/>
          <w:shd w:val="clear" w:color="auto" w:fill="auto"/>
        </w:rPr>
      </w:pPr>
      <w:r>
        <w:rPr>
          <w:rFonts w:hint="eastAsia" w:ascii="黑体" w:hAnsi="黑体" w:eastAsia="黑体" w:cs="黑体"/>
          <w:spacing w:val="-11"/>
          <w:sz w:val="32"/>
          <w:szCs w:val="32"/>
        </w:rPr>
        <w:t xml:space="preserve">第一条  </w:t>
      </w:r>
      <w:r>
        <w:rPr>
          <w:rFonts w:hint="eastAsia" w:ascii="仿宋_GB2312" w:hAnsi="仿宋_GB2312" w:eastAsia="仿宋_GB2312" w:cs="仿宋_GB2312"/>
          <w:b w:val="0"/>
          <w:bCs w:val="0"/>
          <w:color w:val="000000"/>
          <w:spacing w:val="-17"/>
          <w:sz w:val="32"/>
          <w:szCs w:val="32"/>
          <w:shd w:val="clear" w:color="auto" w:fill="auto"/>
        </w:rPr>
        <w:t>为推进鄂尔多斯市家政服务业信用体系建设，规范市场秩序，优化营商环境，构建以信用为基础的新型监管机制，根据《内蒙古自治区人民政府关于在全区开展诚信建设工程实施方案的通知》（内政发〔2024〕9号）《内蒙古自治区商务厅关于进一步做好商贸领域企业信用评价和分级分类监管等工作的通知》（内商建字〔2024〕513号）《鄂尔多斯市人民政府关于印发鄂尔多斯市诚信建设工程实施方案的通知》（鄂府发〔2024〕21号）等法规和文件要求，结合本市家政服务业</w:t>
      </w:r>
      <w:r>
        <w:rPr>
          <w:rFonts w:hint="eastAsia" w:ascii="仿宋_GB2312" w:hAnsi="仿宋_GB2312" w:eastAsia="仿宋_GB2312" w:cs="仿宋_GB2312"/>
          <w:b w:val="0"/>
          <w:bCs w:val="0"/>
          <w:color w:val="000000"/>
          <w:spacing w:val="-17"/>
          <w:sz w:val="32"/>
          <w:szCs w:val="32"/>
          <w:shd w:val="clear" w:color="auto" w:fill="auto"/>
          <w:lang w:eastAsia="zh-CN"/>
        </w:rPr>
        <w:t>工作</w:t>
      </w:r>
      <w:r>
        <w:rPr>
          <w:rFonts w:hint="eastAsia" w:ascii="仿宋_GB2312" w:hAnsi="仿宋_GB2312" w:eastAsia="仿宋_GB2312" w:cs="仿宋_GB2312"/>
          <w:b w:val="0"/>
          <w:bCs w:val="0"/>
          <w:color w:val="000000"/>
          <w:spacing w:val="-17"/>
          <w:sz w:val="32"/>
          <w:szCs w:val="32"/>
          <w:shd w:val="clear" w:color="auto" w:fill="auto"/>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spacing w:val="-11"/>
          <w:sz w:val="32"/>
          <w:szCs w:val="32"/>
        </w:rPr>
      </w:pPr>
      <w:r>
        <w:rPr>
          <w:rFonts w:hint="eastAsia" w:ascii="黑体" w:hAnsi="黑体" w:eastAsia="黑体" w:cs="黑体"/>
          <w:spacing w:val="-11"/>
          <w:sz w:val="32"/>
          <w:szCs w:val="32"/>
        </w:rPr>
        <w:t xml:space="preserve">第二条  </w:t>
      </w:r>
      <w:r>
        <w:rPr>
          <w:rFonts w:hint="eastAsia" w:ascii="仿宋_GB2312" w:hAnsi="仿宋_GB2312" w:eastAsia="仿宋_GB2312" w:cs="仿宋_GB2312"/>
          <w:spacing w:val="-17"/>
          <w:sz w:val="32"/>
          <w:szCs w:val="32"/>
        </w:rPr>
        <w:t>本办法适用于鄂尔多斯市</w:t>
      </w:r>
      <w:bookmarkStart w:id="0" w:name="_Hlk192145917"/>
      <w:r>
        <w:rPr>
          <w:rFonts w:hint="eastAsia" w:ascii="仿宋_GB2312" w:hAnsi="仿宋_GB2312" w:eastAsia="仿宋_GB2312" w:cs="仿宋_GB2312"/>
          <w:spacing w:val="-17"/>
          <w:sz w:val="32"/>
          <w:szCs w:val="32"/>
        </w:rPr>
        <w:t>各级家政服务业主管部门</w:t>
      </w:r>
      <w:bookmarkEnd w:id="0"/>
      <w:r>
        <w:rPr>
          <w:rFonts w:hint="eastAsia" w:ascii="仿宋_GB2312" w:hAnsi="仿宋_GB2312" w:eastAsia="仿宋_GB2312" w:cs="仿宋_GB2312"/>
          <w:spacing w:val="-17"/>
          <w:sz w:val="32"/>
          <w:szCs w:val="32"/>
        </w:rPr>
        <w:t>依法依规对行政区域内从事家政服务业市场主体的信用等级评定、信用分级分类监管等相关活动。</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方正仿宋_GB2312" w:hAnsi="方正仿宋_GB2312" w:eastAsia="方正仿宋_GB2312" w:cs="方正仿宋_GB2312"/>
          <w:spacing w:val="-17"/>
          <w:sz w:val="32"/>
          <w:szCs w:val="32"/>
        </w:rPr>
      </w:pPr>
      <w:r>
        <w:rPr>
          <w:rFonts w:hint="eastAsia" w:ascii="黑体" w:hAnsi="黑体" w:eastAsia="黑体" w:cs="黑体"/>
          <w:spacing w:val="-11"/>
          <w:sz w:val="32"/>
          <w:szCs w:val="32"/>
        </w:rPr>
        <w:t xml:space="preserve">第三条  </w:t>
      </w:r>
      <w:r>
        <w:rPr>
          <w:rFonts w:hint="eastAsia" w:ascii="仿宋_GB2312" w:hAnsi="仿宋_GB2312" w:eastAsia="仿宋_GB2312" w:cs="仿宋_GB2312"/>
          <w:spacing w:val="-17"/>
          <w:sz w:val="32"/>
          <w:szCs w:val="32"/>
        </w:rPr>
        <w:t>本办法所称家政服务业市场主体，包括本市从事烹饪、保洁、搬家、家庭教育、儿童看护、孕产妇护理、婴幼儿护理、老人和病人护理等依法注册的企业、个体工商户及其他组织形式。</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spacing w:val="-11"/>
          <w:sz w:val="32"/>
          <w:szCs w:val="32"/>
        </w:rPr>
      </w:pPr>
      <w:bookmarkStart w:id="1" w:name="_Hlk192145811"/>
      <w:r>
        <w:rPr>
          <w:rFonts w:hint="eastAsia" w:ascii="黑体" w:hAnsi="黑体" w:eastAsia="黑体" w:cs="黑体"/>
          <w:spacing w:val="-11"/>
          <w:sz w:val="32"/>
          <w:szCs w:val="32"/>
        </w:rPr>
        <w:t>第四条</w:t>
      </w:r>
      <w:bookmarkEnd w:id="1"/>
      <w:r>
        <w:rPr>
          <w:rFonts w:hint="eastAsia" w:ascii="黑体" w:hAnsi="黑体" w:eastAsia="黑体" w:cs="黑体"/>
          <w:spacing w:val="-11"/>
          <w:sz w:val="32"/>
          <w:szCs w:val="32"/>
        </w:rPr>
        <w:t xml:space="preserve">  </w:t>
      </w:r>
      <w:r>
        <w:rPr>
          <w:rFonts w:hint="eastAsia" w:ascii="仿宋_GB2312" w:hAnsi="仿宋_GB2312" w:eastAsia="仿宋_GB2312" w:cs="仿宋_GB2312"/>
          <w:spacing w:val="-17"/>
          <w:sz w:val="32"/>
          <w:szCs w:val="32"/>
        </w:rPr>
        <w:t>本办法所称信用分级分类监管，是指遵循“依法依规、科学公正、动态管理、奖惩结合”原则，以信用评价结果为依据，对市场主体进行分级分类，建立监管标准并实施差异化监管措施的过程。</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方正仿宋_GB2312" w:hAnsi="方正仿宋_GB2312" w:eastAsia="方正仿宋_GB2312" w:cs="方正仿宋_GB2312"/>
          <w:spacing w:val="-11"/>
          <w:sz w:val="32"/>
          <w:szCs w:val="32"/>
        </w:rPr>
      </w:pPr>
      <w:r>
        <w:rPr>
          <w:rFonts w:hint="eastAsia" w:ascii="黑体" w:hAnsi="黑体" w:eastAsia="黑体" w:cs="黑体"/>
          <w:spacing w:val="-11"/>
          <w:sz w:val="32"/>
          <w:szCs w:val="32"/>
        </w:rPr>
        <w:t xml:space="preserve">第五条  </w:t>
      </w:r>
      <w:r>
        <w:rPr>
          <w:rFonts w:hint="eastAsia" w:ascii="仿宋_GB2312" w:hAnsi="仿宋_GB2312" w:eastAsia="仿宋_GB2312" w:cs="仿宋_GB2312"/>
          <w:spacing w:val="-17"/>
          <w:sz w:val="32"/>
          <w:szCs w:val="32"/>
        </w:rPr>
        <w:t>全市各级家政服务业主管部门在信用信息采集、检查、记录、存储、发布和应用等管理活动中，应当遵循合法、安全、客观、有效的原则，不得泄露国家秘密，不得侵犯商业秘密和个人隐私，不得违反国家法律法规，要切实维护信息主体的合法权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仿宋_GB2312" w:hAnsi="方正仿宋_GB2312" w:eastAsia="方正仿宋_GB2312" w:cs="方正仿宋_GB2312"/>
          <w:b/>
          <w:bCs/>
          <w:spacing w:val="-11"/>
          <w:sz w:val="32"/>
          <w:szCs w:val="32"/>
        </w:rPr>
      </w:pPr>
      <w:r>
        <w:rPr>
          <w:rFonts w:hint="eastAsia" w:ascii="黑体" w:hAnsi="黑体" w:eastAsia="黑体" w:cs="黑体"/>
          <w:spacing w:val="-11"/>
          <w:sz w:val="32"/>
          <w:szCs w:val="32"/>
        </w:rPr>
        <w:t>第二章 信用评价</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方正仿宋_GB2312" w:hAnsi="方正仿宋_GB2312" w:eastAsia="方正仿宋_GB2312" w:cs="方正仿宋_GB2312"/>
          <w:spacing w:val="-11"/>
          <w:sz w:val="32"/>
          <w:szCs w:val="32"/>
        </w:rPr>
      </w:pPr>
      <w:r>
        <w:rPr>
          <w:rFonts w:hint="eastAsia" w:ascii="黑体" w:hAnsi="黑体" w:eastAsia="黑体" w:cs="黑体"/>
          <w:spacing w:val="-11"/>
          <w:sz w:val="32"/>
          <w:szCs w:val="32"/>
        </w:rPr>
        <w:t>第六条</w:t>
      </w:r>
      <w:r>
        <w:rPr>
          <w:rFonts w:hint="eastAsia" w:ascii="方正仿宋_GB2312" w:hAnsi="方正仿宋_GB2312" w:eastAsia="方正仿宋_GB2312" w:cs="方正仿宋_GB2312"/>
          <w:b/>
          <w:bCs/>
          <w:spacing w:val="-11"/>
          <w:sz w:val="32"/>
          <w:szCs w:val="32"/>
        </w:rPr>
        <w:t xml:space="preserve">  </w:t>
      </w:r>
      <w:r>
        <w:rPr>
          <w:rFonts w:hint="eastAsia" w:ascii="仿宋_GB2312" w:hAnsi="仿宋_GB2312" w:eastAsia="仿宋_GB2312" w:cs="仿宋_GB2312"/>
          <w:spacing w:val="-17"/>
          <w:sz w:val="32"/>
          <w:szCs w:val="32"/>
        </w:rPr>
        <w:t>信用评价以公共信用信息、行业管理信息及市场主体报送信息为基础，综合采用“等级熔断+指标评分”双轨制的评价方式，对</w:t>
      </w:r>
      <w:bookmarkStart w:id="2" w:name="OLE_LINK1"/>
      <w:r>
        <w:rPr>
          <w:rFonts w:hint="eastAsia" w:ascii="仿宋_GB2312" w:hAnsi="仿宋_GB2312" w:eastAsia="仿宋_GB2312" w:cs="仿宋_GB2312"/>
          <w:spacing w:val="-17"/>
          <w:sz w:val="32"/>
          <w:szCs w:val="32"/>
        </w:rPr>
        <w:t>市场主体的信用分值与等级状况实施</w:t>
      </w:r>
      <w:bookmarkEnd w:id="2"/>
      <w:r>
        <w:rPr>
          <w:rFonts w:hint="eastAsia" w:ascii="仿宋_GB2312" w:hAnsi="仿宋_GB2312" w:eastAsia="仿宋_GB2312" w:cs="仿宋_GB2312"/>
          <w:spacing w:val="-17"/>
          <w:sz w:val="32"/>
          <w:szCs w:val="32"/>
        </w:rPr>
        <w:t>动态管理。</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方正仿宋_GB2312" w:hAnsi="方正仿宋_GB2312" w:eastAsia="方正仿宋_GB2312" w:cs="方正仿宋_GB2312"/>
          <w:sz w:val="32"/>
          <w:szCs w:val="32"/>
        </w:rPr>
      </w:pPr>
      <w:r>
        <w:rPr>
          <w:rFonts w:hint="eastAsia" w:ascii="黑体" w:hAnsi="黑体" w:eastAsia="黑体" w:cs="黑体"/>
          <w:spacing w:val="-11"/>
          <w:sz w:val="32"/>
          <w:szCs w:val="32"/>
        </w:rPr>
        <w:t>第七条</w:t>
      </w:r>
      <w:r>
        <w:rPr>
          <w:rFonts w:hint="eastAsia" w:ascii="方正仿宋_GB2312" w:hAnsi="方正仿宋_GB2312" w:eastAsia="方正仿宋_GB2312" w:cs="方正仿宋_GB2312"/>
          <w:b/>
          <w:bCs/>
          <w:spacing w:val="-11"/>
          <w:sz w:val="32"/>
          <w:szCs w:val="32"/>
        </w:rPr>
        <w:t xml:space="preserve">  </w:t>
      </w:r>
      <w:r>
        <w:rPr>
          <w:rFonts w:hint="eastAsia" w:ascii="仿宋_GB2312" w:hAnsi="仿宋_GB2312" w:eastAsia="仿宋_GB2312" w:cs="仿宋_GB2312"/>
          <w:spacing w:val="-17"/>
          <w:sz w:val="32"/>
          <w:szCs w:val="32"/>
        </w:rPr>
        <w:t>市场主体的信用评价结果，按照信用分值从高到低划分为</w:t>
      </w:r>
      <w:r>
        <w:rPr>
          <w:rFonts w:hint="eastAsia" w:ascii="仿宋_GB2312" w:hAnsi="仿宋_GB2312" w:eastAsia="仿宋_GB2312" w:cs="仿宋_GB2312"/>
          <w:b/>
          <w:bCs/>
          <w:spacing w:val="-17"/>
          <w:sz w:val="32"/>
          <w:szCs w:val="32"/>
        </w:rPr>
        <w:t>A、B、C、D</w:t>
      </w:r>
      <w:r>
        <w:rPr>
          <w:rFonts w:hint="eastAsia" w:ascii="仿宋_GB2312" w:hAnsi="仿宋_GB2312" w:eastAsia="仿宋_GB2312" w:cs="仿宋_GB2312"/>
          <w:spacing w:val="-17"/>
          <w:sz w:val="32"/>
          <w:szCs w:val="32"/>
        </w:rPr>
        <w:t>四个等级。信用等级划分：</w:t>
      </w:r>
    </w:p>
    <w:tbl>
      <w:tblPr>
        <w:tblStyle w:val="16"/>
        <w:tblW w:w="96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665"/>
        <w:gridCol w:w="1950"/>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432" w:type="dxa"/>
            <w:vAlign w:val="center"/>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等级</w:t>
            </w:r>
          </w:p>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符号</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等级</w:t>
            </w:r>
          </w:p>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含义</w:t>
            </w:r>
          </w:p>
        </w:tc>
        <w:tc>
          <w:tcPr>
            <w:tcW w:w="1950" w:type="dxa"/>
            <w:vAlign w:val="center"/>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分值范围</w:t>
            </w:r>
          </w:p>
        </w:tc>
        <w:tc>
          <w:tcPr>
            <w:tcW w:w="4568" w:type="dxa"/>
            <w:vAlign w:val="center"/>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信用风险提示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432" w:type="dxa"/>
            <w:vAlign w:val="center"/>
          </w:tcPr>
          <w:p>
            <w:pPr>
              <w:jc w:val="center"/>
              <w:rPr>
                <w:rFonts w:ascii="Arial" w:hAnsi="Arial" w:eastAsia="方正仿宋_GB2312" w:cs="Arial"/>
                <w:sz w:val="21"/>
                <w:szCs w:val="21"/>
              </w:rPr>
            </w:pPr>
            <w:r>
              <w:rPr>
                <w:rFonts w:ascii="Arial" w:hAnsi="Arial" w:eastAsia="方正仿宋_GB2312" w:cs="Arial"/>
                <w:sz w:val="21"/>
                <w:szCs w:val="21"/>
              </w:rPr>
              <w:t>A</w:t>
            </w:r>
          </w:p>
        </w:tc>
        <w:tc>
          <w:tcPr>
            <w:tcW w:w="166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信用良好</w:t>
            </w:r>
          </w:p>
        </w:tc>
        <w:tc>
          <w:tcPr>
            <w:tcW w:w="1950" w:type="dxa"/>
            <w:vAlign w:val="center"/>
          </w:tcPr>
          <w:p>
            <w:pPr>
              <w:jc w:val="center"/>
              <w:rPr>
                <w:rFonts w:ascii="Arial" w:hAnsi="Arial" w:eastAsia="方正仿宋_GB2312" w:cs="Arial"/>
                <w:sz w:val="21"/>
                <w:szCs w:val="21"/>
              </w:rPr>
            </w:pPr>
            <w:r>
              <w:rPr>
                <w:rFonts w:ascii="Arial" w:hAnsi="Arial" w:eastAsia="方正仿宋_GB2312" w:cs="Arial"/>
                <w:sz w:val="21"/>
                <w:szCs w:val="21"/>
              </w:rPr>
              <w:t>[800,1000]</w:t>
            </w:r>
          </w:p>
        </w:tc>
        <w:tc>
          <w:tcPr>
            <w:tcW w:w="4568"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表示该主体在该年度的信用风险低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32" w:type="dxa"/>
            <w:vAlign w:val="center"/>
          </w:tcPr>
          <w:p>
            <w:pPr>
              <w:jc w:val="center"/>
              <w:rPr>
                <w:rFonts w:ascii="Arial" w:hAnsi="Arial" w:eastAsia="方正仿宋_GB2312" w:cs="Arial"/>
                <w:sz w:val="21"/>
                <w:szCs w:val="21"/>
              </w:rPr>
            </w:pPr>
            <w:r>
              <w:rPr>
                <w:rFonts w:ascii="Arial" w:hAnsi="Arial" w:eastAsia="方正仿宋_GB2312" w:cs="Arial"/>
                <w:sz w:val="21"/>
                <w:szCs w:val="21"/>
              </w:rPr>
              <w:t>B</w:t>
            </w:r>
          </w:p>
        </w:tc>
        <w:tc>
          <w:tcPr>
            <w:tcW w:w="166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信用较好</w:t>
            </w:r>
          </w:p>
        </w:tc>
        <w:tc>
          <w:tcPr>
            <w:tcW w:w="1950" w:type="dxa"/>
            <w:vAlign w:val="center"/>
          </w:tcPr>
          <w:p>
            <w:pPr>
              <w:jc w:val="center"/>
              <w:rPr>
                <w:rFonts w:ascii="Arial" w:hAnsi="Arial" w:eastAsia="方正仿宋_GB2312" w:cs="Arial"/>
                <w:sz w:val="21"/>
                <w:szCs w:val="21"/>
              </w:rPr>
            </w:pPr>
            <w:r>
              <w:rPr>
                <w:rFonts w:ascii="Arial" w:hAnsi="Arial" w:eastAsia="方正仿宋_GB2312" w:cs="Arial"/>
                <w:sz w:val="21"/>
                <w:szCs w:val="21"/>
              </w:rPr>
              <w:t>[600,799]</w:t>
            </w:r>
          </w:p>
        </w:tc>
        <w:tc>
          <w:tcPr>
            <w:tcW w:w="4568"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表示该主体在该年度的信用风险较低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432" w:type="dxa"/>
            <w:vAlign w:val="center"/>
          </w:tcPr>
          <w:p>
            <w:pPr>
              <w:jc w:val="center"/>
              <w:rPr>
                <w:rFonts w:ascii="Arial" w:hAnsi="Arial" w:eastAsia="方正仿宋_GB2312" w:cs="Arial"/>
                <w:sz w:val="21"/>
                <w:szCs w:val="21"/>
              </w:rPr>
            </w:pPr>
            <w:r>
              <w:rPr>
                <w:rFonts w:ascii="Arial" w:hAnsi="Arial" w:eastAsia="方正仿宋_GB2312" w:cs="Arial"/>
                <w:sz w:val="21"/>
                <w:szCs w:val="21"/>
              </w:rPr>
              <w:t>C</w:t>
            </w:r>
          </w:p>
        </w:tc>
        <w:tc>
          <w:tcPr>
            <w:tcW w:w="166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信用较差</w:t>
            </w:r>
          </w:p>
        </w:tc>
        <w:tc>
          <w:tcPr>
            <w:tcW w:w="1950" w:type="dxa"/>
            <w:vAlign w:val="center"/>
          </w:tcPr>
          <w:p>
            <w:pPr>
              <w:jc w:val="center"/>
              <w:rPr>
                <w:rFonts w:ascii="Arial" w:hAnsi="Arial" w:eastAsia="方正仿宋_GB2312" w:cs="Arial"/>
                <w:sz w:val="21"/>
                <w:szCs w:val="21"/>
              </w:rPr>
            </w:pPr>
            <w:r>
              <w:rPr>
                <w:rFonts w:ascii="Arial" w:hAnsi="Arial" w:eastAsia="方正仿宋_GB2312" w:cs="Arial"/>
                <w:sz w:val="21"/>
                <w:szCs w:val="21"/>
              </w:rPr>
              <w:t>[350,599]</w:t>
            </w:r>
          </w:p>
        </w:tc>
        <w:tc>
          <w:tcPr>
            <w:tcW w:w="4568"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表示该主体在该年度的信用风险较高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32" w:type="dxa"/>
            <w:vAlign w:val="center"/>
          </w:tcPr>
          <w:p>
            <w:pPr>
              <w:jc w:val="center"/>
              <w:rPr>
                <w:rFonts w:ascii="Arial" w:hAnsi="Arial" w:eastAsia="方正仿宋_GB2312" w:cs="Arial"/>
                <w:sz w:val="21"/>
                <w:szCs w:val="21"/>
              </w:rPr>
            </w:pPr>
            <w:r>
              <w:rPr>
                <w:rFonts w:ascii="Arial" w:hAnsi="Arial" w:eastAsia="方正仿宋_GB2312" w:cs="Arial"/>
                <w:sz w:val="21"/>
                <w:szCs w:val="21"/>
              </w:rPr>
              <w:t>D</w:t>
            </w:r>
          </w:p>
        </w:tc>
        <w:tc>
          <w:tcPr>
            <w:tcW w:w="1665"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严重失信</w:t>
            </w:r>
          </w:p>
        </w:tc>
        <w:tc>
          <w:tcPr>
            <w:tcW w:w="1950" w:type="dxa"/>
            <w:vAlign w:val="center"/>
          </w:tcPr>
          <w:p>
            <w:pPr>
              <w:jc w:val="center"/>
              <w:rPr>
                <w:rFonts w:ascii="Arial" w:hAnsi="Arial" w:eastAsia="方正仿宋_GB2312" w:cs="Arial"/>
                <w:sz w:val="21"/>
                <w:szCs w:val="21"/>
              </w:rPr>
            </w:pPr>
            <w:r>
              <w:rPr>
                <w:rFonts w:ascii="Arial" w:hAnsi="Arial" w:eastAsia="方正仿宋_GB2312" w:cs="Arial"/>
                <w:sz w:val="21"/>
                <w:szCs w:val="21"/>
              </w:rPr>
              <w:t>[0,349]</w:t>
            </w:r>
          </w:p>
        </w:tc>
        <w:tc>
          <w:tcPr>
            <w:tcW w:w="4568"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表示该主体在该年度的信用风险高</w:t>
            </w:r>
          </w:p>
        </w:tc>
      </w:tr>
    </w:tbl>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黑体" w:hAnsi="黑体" w:eastAsia="黑体" w:cs="黑体"/>
          <w:spacing w:val="-1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黑体" w:hAnsi="黑体" w:eastAsia="黑体" w:cs="黑体"/>
          <w:spacing w:val="-11"/>
          <w:sz w:val="32"/>
          <w:szCs w:val="32"/>
        </w:rPr>
      </w:pPr>
      <w:r>
        <w:rPr>
          <w:rFonts w:hint="eastAsia" w:ascii="黑体" w:hAnsi="黑体" w:eastAsia="黑体" w:cs="黑体"/>
          <w:spacing w:val="-11"/>
          <w:sz w:val="32"/>
          <w:szCs w:val="32"/>
        </w:rPr>
        <w:t>第三章 信用监管</w:t>
      </w:r>
    </w:p>
    <w:p>
      <w:pPr>
        <w:keepNext w:val="0"/>
        <w:keepLines w:val="0"/>
        <w:pageBreakBefore w:val="0"/>
        <w:widowControl w:val="0"/>
        <w:kinsoku/>
        <w:wordWrap/>
        <w:overflowPunct/>
        <w:topLinePunct w:val="0"/>
        <w:autoSpaceDE/>
        <w:autoSpaceDN/>
        <w:bidi w:val="0"/>
        <w:adjustRightInd/>
        <w:snapToGrid/>
        <w:spacing w:line="560" w:lineRule="exact"/>
        <w:ind w:left="0" w:firstLine="596" w:firstLineChars="200"/>
        <w:textAlignment w:val="auto"/>
        <w:rPr>
          <w:rFonts w:hint="eastAsia" w:ascii="方正仿宋_GB2312" w:hAnsi="方正仿宋_GB2312" w:eastAsia="方正仿宋_GB2312" w:cs="方正仿宋_GB2312"/>
          <w:spacing w:val="-11"/>
          <w:sz w:val="32"/>
          <w:szCs w:val="32"/>
        </w:rPr>
      </w:pPr>
      <w:bookmarkStart w:id="3" w:name="_Hlk192150187"/>
      <w:r>
        <w:rPr>
          <w:rFonts w:hint="eastAsia" w:ascii="黑体" w:hAnsi="黑体" w:eastAsia="黑体" w:cs="黑体"/>
          <w:spacing w:val="-11"/>
          <w:sz w:val="32"/>
          <w:szCs w:val="32"/>
        </w:rPr>
        <w:t>第八条</w:t>
      </w:r>
      <w:bookmarkEnd w:id="3"/>
      <w:r>
        <w:rPr>
          <w:rFonts w:hint="eastAsia" w:ascii="黑体" w:hAnsi="黑体" w:eastAsia="黑体" w:cs="黑体"/>
          <w:spacing w:val="-11"/>
          <w:sz w:val="32"/>
          <w:szCs w:val="32"/>
        </w:rPr>
        <w:t xml:space="preserve">  </w:t>
      </w:r>
      <w:r>
        <w:rPr>
          <w:rFonts w:hint="eastAsia" w:ascii="仿宋_GB2312" w:hAnsi="仿宋_GB2312" w:eastAsia="仿宋_GB2312" w:cs="仿宋_GB2312"/>
          <w:spacing w:val="-17"/>
          <w:sz w:val="32"/>
          <w:szCs w:val="32"/>
        </w:rPr>
        <w:t>全市各级家政服务业主管部门依据市场主体信用评价结果实施分级分类管理。除投诉举报、大数据监测发现问题、转办交办案件线索及法律法规另有规定外，各级家政服务业主管部门应按照市场主体的信用评价结果等级，对相关市场主体实施相应的差异化管理措施。</w:t>
      </w:r>
    </w:p>
    <w:p>
      <w:pPr>
        <w:keepNext w:val="0"/>
        <w:keepLines w:val="0"/>
        <w:pageBreakBefore w:val="0"/>
        <w:widowControl w:val="0"/>
        <w:kinsoku/>
        <w:wordWrap/>
        <w:overflowPunct/>
        <w:topLinePunct w:val="0"/>
        <w:autoSpaceDE/>
        <w:autoSpaceDN/>
        <w:bidi w:val="0"/>
        <w:adjustRightInd/>
        <w:snapToGrid/>
        <w:spacing w:line="560" w:lineRule="exact"/>
        <w:ind w:left="0" w:firstLine="596" w:firstLineChars="200"/>
        <w:textAlignment w:val="auto"/>
        <w:rPr>
          <w:rFonts w:hint="eastAsia" w:ascii="仿宋_GB2312" w:hAnsi="仿宋_GB2312" w:eastAsia="仿宋_GB2312" w:cs="仿宋_GB2312"/>
          <w:spacing w:val="-11"/>
          <w:kern w:val="0"/>
          <w:sz w:val="32"/>
          <w:szCs w:val="32"/>
        </w:rPr>
      </w:pPr>
      <w:bookmarkStart w:id="4" w:name="_Hlk192150215"/>
      <w:r>
        <w:rPr>
          <w:rFonts w:hint="eastAsia" w:ascii="黑体" w:hAnsi="黑体" w:eastAsia="黑体" w:cs="黑体"/>
          <w:spacing w:val="-11"/>
          <w:sz w:val="32"/>
          <w:szCs w:val="32"/>
        </w:rPr>
        <w:t>第九条</w:t>
      </w:r>
      <w:bookmarkEnd w:id="4"/>
      <w:r>
        <w:rPr>
          <w:rFonts w:hint="eastAsia" w:ascii="方正仿宋_GB2312" w:hAnsi="方正仿宋_GB2312" w:eastAsia="方正仿宋_GB2312" w:cs="方正仿宋_GB2312"/>
          <w:b/>
          <w:bCs/>
          <w:spacing w:val="-11"/>
          <w:sz w:val="32"/>
          <w:szCs w:val="32"/>
        </w:rPr>
        <w:t xml:space="preserve">  </w:t>
      </w:r>
      <w:r>
        <w:rPr>
          <w:rFonts w:hint="eastAsia" w:ascii="仿宋_GB2312" w:hAnsi="仿宋_GB2312" w:eastAsia="仿宋_GB2312" w:cs="仿宋_GB2312"/>
          <w:spacing w:val="-11"/>
          <w:kern w:val="0"/>
          <w:sz w:val="32"/>
          <w:szCs w:val="32"/>
        </w:rPr>
        <w:t>对于</w:t>
      </w:r>
      <w:r>
        <w:rPr>
          <w:rFonts w:hint="eastAsia" w:ascii="仿宋_GB2312" w:hAnsi="仿宋_GB2312" w:eastAsia="仿宋_GB2312" w:cs="仿宋_GB2312"/>
          <w:b/>
          <w:bCs/>
          <w:spacing w:val="-11"/>
          <w:kern w:val="0"/>
          <w:sz w:val="32"/>
          <w:szCs w:val="32"/>
        </w:rPr>
        <w:t>A</w:t>
      </w:r>
      <w:r>
        <w:rPr>
          <w:rFonts w:hint="eastAsia" w:ascii="仿宋_GB2312" w:hAnsi="仿宋_GB2312" w:eastAsia="仿宋_GB2312" w:cs="仿宋_GB2312"/>
          <w:spacing w:val="-11"/>
          <w:kern w:val="0"/>
          <w:sz w:val="32"/>
          <w:szCs w:val="32"/>
        </w:rPr>
        <w:t xml:space="preserve"> 级市场主体，各级家政服务业主管部门可以采取以下激励性措施（法律、法规、规章另有规定的除外）：</w:t>
      </w:r>
    </w:p>
    <w:p>
      <w:pPr>
        <w:pStyle w:val="31"/>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72" w:firstLineChars="20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落实信任保护原则，可合理降低抽查比例和频次，原则上每年1次。根据实际情况可不主动实施现场检查，实现“无事不扰”；</w:t>
      </w:r>
    </w:p>
    <w:p>
      <w:pPr>
        <w:pStyle w:val="31"/>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72" w:firstLineChars="20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在法律、法规、规章和政策允许范围内，同等条件下优先考虑政策性资金和项目等扶持；</w:t>
      </w:r>
    </w:p>
    <w:p>
      <w:pPr>
        <w:pStyle w:val="31"/>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72" w:firstLineChars="20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公开良好信用记录，企业形象宣传、各类嘉奖表彰和典型选树活动中优先推荐；</w:t>
      </w:r>
    </w:p>
    <w:p>
      <w:pPr>
        <w:pStyle w:val="31"/>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572" w:firstLineChars="200"/>
        <w:textAlignment w:val="auto"/>
        <w:rPr>
          <w:rFonts w:hint="eastAsia" w:ascii="方正仿宋_GB2312" w:hAnsi="方正仿宋_GB2312" w:eastAsia="方正仿宋_GB2312" w:cs="方正仿宋_GB2312"/>
          <w:spacing w:val="-17"/>
          <w:sz w:val="32"/>
          <w:szCs w:val="32"/>
        </w:rPr>
      </w:pPr>
      <w:r>
        <w:rPr>
          <w:rFonts w:hint="eastAsia" w:ascii="仿宋_GB2312" w:hAnsi="仿宋_GB2312" w:eastAsia="仿宋_GB2312" w:cs="仿宋_GB2312"/>
          <w:spacing w:val="-17"/>
          <w:sz w:val="32"/>
          <w:szCs w:val="32"/>
        </w:rPr>
        <w:t>法律、法规等规定的其他措施。</w:t>
      </w:r>
    </w:p>
    <w:p>
      <w:pPr>
        <w:keepNext w:val="0"/>
        <w:keepLines w:val="0"/>
        <w:pageBreakBefore w:val="0"/>
        <w:widowControl w:val="0"/>
        <w:kinsoku/>
        <w:wordWrap/>
        <w:overflowPunct/>
        <w:topLinePunct w:val="0"/>
        <w:autoSpaceDE/>
        <w:autoSpaceDN/>
        <w:bidi w:val="0"/>
        <w:adjustRightInd/>
        <w:snapToGrid/>
        <w:spacing w:line="560" w:lineRule="exact"/>
        <w:ind w:left="0" w:firstLine="596" w:firstLineChars="200"/>
        <w:textAlignment w:val="auto"/>
        <w:rPr>
          <w:rFonts w:hint="eastAsia" w:ascii="仿宋_GB2312" w:hAnsi="仿宋_GB2312" w:eastAsia="仿宋_GB2312" w:cs="仿宋_GB2312"/>
          <w:b/>
          <w:bCs/>
          <w:spacing w:val="-17"/>
          <w:sz w:val="32"/>
          <w:szCs w:val="32"/>
        </w:rPr>
      </w:pPr>
      <w:r>
        <w:rPr>
          <w:rFonts w:hint="eastAsia" w:ascii="黑体" w:hAnsi="黑体" w:eastAsia="黑体" w:cs="黑体"/>
          <w:spacing w:val="-11"/>
          <w:sz w:val="32"/>
          <w:szCs w:val="32"/>
        </w:rPr>
        <w:t>第十条</w:t>
      </w:r>
      <w:r>
        <w:rPr>
          <w:rFonts w:hint="eastAsia" w:ascii="方正仿宋_GB2312" w:hAnsi="方正仿宋_GB2312" w:eastAsia="方正仿宋_GB2312" w:cs="方正仿宋_GB2312"/>
          <w:b/>
          <w:bCs/>
          <w:spacing w:val="-11"/>
          <w:sz w:val="32"/>
          <w:szCs w:val="32"/>
        </w:rPr>
        <w:t xml:space="preserve">  </w:t>
      </w:r>
      <w:r>
        <w:rPr>
          <w:rFonts w:hint="eastAsia" w:ascii="仿宋_GB2312" w:hAnsi="仿宋_GB2312" w:eastAsia="仿宋_GB2312" w:cs="仿宋_GB2312"/>
          <w:spacing w:val="-17"/>
          <w:sz w:val="32"/>
          <w:szCs w:val="32"/>
        </w:rPr>
        <w:t>对于</w:t>
      </w:r>
      <w:r>
        <w:rPr>
          <w:rFonts w:hint="eastAsia" w:ascii="仿宋_GB2312" w:hAnsi="仿宋_GB2312" w:eastAsia="仿宋_GB2312" w:cs="仿宋_GB2312"/>
          <w:b/>
          <w:bCs/>
          <w:spacing w:val="-17"/>
          <w:sz w:val="32"/>
          <w:szCs w:val="32"/>
        </w:rPr>
        <w:t>B</w:t>
      </w:r>
      <w:r>
        <w:rPr>
          <w:rFonts w:hint="eastAsia" w:ascii="仿宋_GB2312" w:hAnsi="仿宋_GB2312" w:eastAsia="仿宋_GB2312" w:cs="仿宋_GB2312"/>
          <w:spacing w:val="-17"/>
          <w:sz w:val="32"/>
          <w:szCs w:val="32"/>
        </w:rPr>
        <w:t>级市场主体，各级家政服务业主管部门可以采取以下管理措施（法律、法规、规章另有规定的除外）：</w:t>
      </w:r>
    </w:p>
    <w:p>
      <w:pPr>
        <w:pStyle w:val="31"/>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572" w:firstLineChars="20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按常规比例和频次开展抽查，一般不需要采取特殊监管措施,主要以原则性、常规性监管为主。每年检查不超过2次；</w:t>
      </w:r>
    </w:p>
    <w:p>
      <w:pPr>
        <w:pStyle w:val="31"/>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572" w:firstLineChars="20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政策性资金和项目等扶持方面不予限制，企业形象宣传、各类嘉奖表彰和典型选树活动中推荐；</w:t>
      </w:r>
    </w:p>
    <w:p>
      <w:pPr>
        <w:pStyle w:val="31"/>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572" w:firstLineChars="20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定期向社会公布信用记录；</w:t>
      </w:r>
    </w:p>
    <w:p>
      <w:pPr>
        <w:pStyle w:val="31"/>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572" w:firstLineChars="200"/>
        <w:textAlignment w:val="auto"/>
        <w:rPr>
          <w:rFonts w:hint="eastAsia" w:ascii="仿宋_GB2312" w:hAnsi="仿宋_GB2312" w:eastAsia="仿宋_GB2312" w:cs="仿宋_GB2312"/>
          <w:spacing w:val="-11"/>
          <w:sz w:val="32"/>
          <w:szCs w:val="32"/>
        </w:rPr>
      </w:pPr>
      <w:r>
        <w:rPr>
          <w:rFonts w:hint="eastAsia" w:ascii="仿宋_GB2312" w:hAnsi="仿宋_GB2312" w:eastAsia="仿宋_GB2312" w:cs="仿宋_GB2312"/>
          <w:spacing w:val="-17"/>
          <w:sz w:val="32"/>
          <w:szCs w:val="32"/>
        </w:rPr>
        <w:t>法律、法规等规定的其他措施。</w:t>
      </w:r>
    </w:p>
    <w:p>
      <w:pPr>
        <w:keepNext w:val="0"/>
        <w:keepLines w:val="0"/>
        <w:pageBreakBefore w:val="0"/>
        <w:widowControl w:val="0"/>
        <w:kinsoku/>
        <w:wordWrap/>
        <w:overflowPunct/>
        <w:topLinePunct w:val="0"/>
        <w:autoSpaceDE/>
        <w:autoSpaceDN/>
        <w:bidi w:val="0"/>
        <w:adjustRightInd/>
        <w:snapToGrid/>
        <w:spacing w:line="560" w:lineRule="exact"/>
        <w:ind w:left="0" w:firstLine="596" w:firstLineChars="200"/>
        <w:textAlignment w:val="auto"/>
        <w:rPr>
          <w:rFonts w:hint="eastAsia" w:ascii="仿宋_GB2312" w:hAnsi="仿宋_GB2312" w:eastAsia="仿宋_GB2312" w:cs="仿宋_GB2312"/>
          <w:spacing w:val="-17"/>
          <w:sz w:val="32"/>
          <w:szCs w:val="32"/>
        </w:rPr>
      </w:pPr>
      <w:r>
        <w:rPr>
          <w:rFonts w:hint="eastAsia" w:ascii="黑体" w:hAnsi="黑体" w:eastAsia="黑体" w:cs="黑体"/>
          <w:spacing w:val="-11"/>
          <w:sz w:val="32"/>
          <w:szCs w:val="32"/>
        </w:rPr>
        <w:t>第十一条</w:t>
      </w:r>
      <w:r>
        <w:rPr>
          <w:rFonts w:hint="eastAsia" w:ascii="方正仿宋_GB2312" w:hAnsi="方正仿宋_GB2312" w:eastAsia="方正仿宋_GB2312" w:cs="方正仿宋_GB2312"/>
          <w:b/>
          <w:bCs/>
          <w:spacing w:val="-11"/>
          <w:sz w:val="32"/>
          <w:szCs w:val="32"/>
        </w:rPr>
        <w:t xml:space="preserve">  </w:t>
      </w:r>
      <w:r>
        <w:rPr>
          <w:rFonts w:hint="eastAsia" w:ascii="仿宋_GB2312" w:hAnsi="仿宋_GB2312" w:eastAsia="仿宋_GB2312" w:cs="仿宋_GB2312"/>
          <w:spacing w:val="-17"/>
          <w:sz w:val="32"/>
          <w:szCs w:val="32"/>
        </w:rPr>
        <w:t>对于</w:t>
      </w:r>
      <w:r>
        <w:rPr>
          <w:rFonts w:hint="eastAsia" w:ascii="仿宋_GB2312" w:hAnsi="仿宋_GB2312" w:eastAsia="仿宋_GB2312" w:cs="仿宋_GB2312"/>
          <w:b/>
          <w:bCs/>
          <w:spacing w:val="-17"/>
          <w:sz w:val="32"/>
          <w:szCs w:val="32"/>
        </w:rPr>
        <w:t>C</w:t>
      </w:r>
      <w:r>
        <w:rPr>
          <w:rFonts w:hint="eastAsia" w:ascii="仿宋_GB2312" w:hAnsi="仿宋_GB2312" w:eastAsia="仿宋_GB2312" w:cs="仿宋_GB2312"/>
          <w:spacing w:val="-17"/>
          <w:sz w:val="32"/>
          <w:szCs w:val="32"/>
        </w:rPr>
        <w:t>级市场主体，各级家政服务业主管部门可以采取以下惩戒性措施（法律、法规、规章另有规定的除外）：</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572" w:firstLineChars="20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实行重点关注，提高抽查比例和频次，每年不少于2次；</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572" w:firstLineChars="20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依法依规实施失信惩戒措施，审慎安排财政性资金扶持,建议取消行业评先评优资格。</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572" w:firstLineChars="20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公开违法违规记录,对其违法违规行为依法加大处罚，影响较严重的予以曝光;</w:t>
      </w:r>
    </w:p>
    <w:p>
      <w:pPr>
        <w:pStyle w:val="31"/>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firstLine="572" w:firstLineChars="200"/>
        <w:textAlignment w:val="auto"/>
        <w:rPr>
          <w:rFonts w:hint="eastAsia" w:ascii="方正仿宋_GB2312" w:hAnsi="方正仿宋_GB2312" w:eastAsia="方正仿宋_GB2312" w:cs="方正仿宋_GB2312"/>
          <w:spacing w:val="-11"/>
          <w:sz w:val="32"/>
          <w:szCs w:val="32"/>
        </w:rPr>
      </w:pPr>
      <w:r>
        <w:rPr>
          <w:rFonts w:hint="eastAsia" w:ascii="仿宋_GB2312" w:hAnsi="仿宋_GB2312" w:eastAsia="仿宋_GB2312" w:cs="仿宋_GB2312"/>
          <w:spacing w:val="-17"/>
          <w:sz w:val="32"/>
          <w:szCs w:val="32"/>
        </w:rPr>
        <w:t>法律、法规等规定的其他措施。</w:t>
      </w:r>
    </w:p>
    <w:p>
      <w:pPr>
        <w:keepNext w:val="0"/>
        <w:keepLines w:val="0"/>
        <w:pageBreakBefore w:val="0"/>
        <w:widowControl w:val="0"/>
        <w:kinsoku/>
        <w:wordWrap/>
        <w:overflowPunct/>
        <w:topLinePunct w:val="0"/>
        <w:autoSpaceDE/>
        <w:autoSpaceDN/>
        <w:bidi w:val="0"/>
        <w:adjustRightInd/>
        <w:snapToGrid/>
        <w:spacing w:line="560" w:lineRule="exact"/>
        <w:ind w:left="0" w:firstLine="596" w:firstLineChars="200"/>
        <w:textAlignment w:val="auto"/>
        <w:rPr>
          <w:rFonts w:hint="eastAsia" w:ascii="仿宋_GB2312" w:hAnsi="仿宋_GB2312" w:eastAsia="仿宋_GB2312" w:cs="仿宋_GB2312"/>
          <w:spacing w:val="-17"/>
          <w:sz w:val="32"/>
          <w:szCs w:val="32"/>
        </w:rPr>
      </w:pPr>
      <w:r>
        <w:rPr>
          <w:rFonts w:hint="eastAsia" w:ascii="黑体" w:hAnsi="黑体" w:eastAsia="黑体" w:cs="黑体"/>
          <w:spacing w:val="-11"/>
          <w:sz w:val="32"/>
          <w:szCs w:val="32"/>
        </w:rPr>
        <w:t>第十二条</w:t>
      </w:r>
      <w:r>
        <w:rPr>
          <w:rFonts w:hint="eastAsia" w:ascii="方正仿宋_GB2312" w:hAnsi="方正仿宋_GB2312" w:eastAsia="方正仿宋_GB2312" w:cs="方正仿宋_GB2312"/>
          <w:spacing w:val="-11"/>
          <w:sz w:val="32"/>
          <w:szCs w:val="32"/>
        </w:rPr>
        <w:t xml:space="preserve">  </w:t>
      </w:r>
      <w:r>
        <w:rPr>
          <w:rFonts w:hint="eastAsia" w:ascii="仿宋_GB2312" w:hAnsi="仿宋_GB2312" w:eastAsia="仿宋_GB2312" w:cs="仿宋_GB2312"/>
          <w:spacing w:val="-17"/>
          <w:sz w:val="32"/>
          <w:szCs w:val="32"/>
        </w:rPr>
        <w:t>对于</w:t>
      </w:r>
      <w:r>
        <w:rPr>
          <w:rFonts w:hint="eastAsia" w:ascii="仿宋_GB2312" w:hAnsi="仿宋_GB2312" w:eastAsia="仿宋_GB2312" w:cs="仿宋_GB2312"/>
          <w:b/>
          <w:bCs/>
          <w:spacing w:val="-17"/>
          <w:sz w:val="32"/>
          <w:szCs w:val="32"/>
        </w:rPr>
        <w:t>D</w:t>
      </w:r>
      <w:r>
        <w:rPr>
          <w:rFonts w:hint="eastAsia" w:ascii="仿宋_GB2312" w:hAnsi="仿宋_GB2312" w:eastAsia="仿宋_GB2312" w:cs="仿宋_GB2312"/>
          <w:spacing w:val="-17"/>
          <w:sz w:val="32"/>
          <w:szCs w:val="32"/>
        </w:rPr>
        <w:t>级市场主体，各级家政服务业主管部门可以采取以下惩戒性措施（法律、法规、规章另有规定的除外）：</w:t>
      </w:r>
    </w:p>
    <w:p>
      <w:pPr>
        <w:pStyle w:val="31"/>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572" w:firstLineChars="20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列为重点监管对象，有针对性地大幅提高抽查比例和频次，必要时主动实施现场检查；</w:t>
      </w:r>
    </w:p>
    <w:p>
      <w:pPr>
        <w:pStyle w:val="31"/>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572" w:firstLineChars="20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依法依规实施失信惩戒措施，暂停政策性资金和项目等扶持</w:t>
      </w:r>
      <w:bookmarkStart w:id="7" w:name="_GoBack"/>
      <w:bookmarkEnd w:id="7"/>
      <w:r>
        <w:rPr>
          <w:rFonts w:hint="eastAsia" w:ascii="仿宋_GB2312" w:hAnsi="仿宋_GB2312" w:eastAsia="仿宋_GB2312" w:cs="仿宋_GB2312"/>
          <w:spacing w:val="-17"/>
          <w:sz w:val="32"/>
          <w:szCs w:val="32"/>
        </w:rPr>
        <w:t>,商务部门向企业颁发荣誉证书、嘉奖和表彰等荣誉性称号时不予颁发荣誉称号，已取得的荣誉称号应予撤销；</w:t>
      </w:r>
    </w:p>
    <w:p>
      <w:pPr>
        <w:pStyle w:val="31"/>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572" w:firstLineChars="20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公开违法违规记录,对其违法违规行为依法加大处罚，并坚决予以曝光，情节严重的，按照有关规定纳入商务领域信用“黑名单”认定备选名单；</w:t>
      </w:r>
    </w:p>
    <w:p>
      <w:pPr>
        <w:pStyle w:val="31"/>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firstLine="572" w:firstLineChars="20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法律、法规等规定的其他措施。</w:t>
      </w:r>
    </w:p>
    <w:p>
      <w:pPr>
        <w:keepNext w:val="0"/>
        <w:keepLines w:val="0"/>
        <w:pageBreakBefore w:val="0"/>
        <w:widowControl w:val="0"/>
        <w:kinsoku/>
        <w:wordWrap/>
        <w:overflowPunct/>
        <w:topLinePunct w:val="0"/>
        <w:autoSpaceDE/>
        <w:autoSpaceDN/>
        <w:bidi w:val="0"/>
        <w:adjustRightInd/>
        <w:snapToGrid/>
        <w:spacing w:line="560" w:lineRule="exact"/>
        <w:ind w:left="0" w:firstLine="596" w:firstLineChars="200"/>
        <w:textAlignment w:val="auto"/>
        <w:rPr>
          <w:rFonts w:hint="eastAsia" w:ascii="方正仿宋_GB2312" w:hAnsi="方正仿宋_GB2312" w:eastAsia="方正仿宋_GB2312" w:cs="方正仿宋_GB2312"/>
          <w:spacing w:val="-17"/>
          <w:sz w:val="32"/>
          <w:szCs w:val="32"/>
        </w:rPr>
      </w:pPr>
      <w:r>
        <w:rPr>
          <w:rFonts w:hint="eastAsia" w:ascii="黑体" w:hAnsi="黑体" w:eastAsia="黑体" w:cs="黑体"/>
          <w:spacing w:val="-11"/>
          <w:sz w:val="32"/>
          <w:szCs w:val="32"/>
        </w:rPr>
        <w:t>第十三条</w:t>
      </w:r>
      <w:r>
        <w:rPr>
          <w:rFonts w:hint="eastAsia" w:ascii="方正仿宋_GB2312" w:hAnsi="方正仿宋_GB2312" w:eastAsia="方正仿宋_GB2312" w:cs="方正仿宋_GB2312"/>
          <w:spacing w:val="-11"/>
          <w:sz w:val="32"/>
          <w:szCs w:val="32"/>
        </w:rPr>
        <w:t xml:space="preserve">  </w:t>
      </w:r>
      <w:r>
        <w:rPr>
          <w:rFonts w:hint="eastAsia" w:ascii="仿宋_GB2312" w:hAnsi="仿宋_GB2312" w:eastAsia="仿宋_GB2312" w:cs="仿宋_GB2312"/>
          <w:spacing w:val="-17"/>
          <w:sz w:val="32"/>
          <w:szCs w:val="32"/>
        </w:rPr>
        <w:t>各级家政服务业主管部门按照相关规定将市场主体信用评价结果共享至信用中国（鄂尔多斯）、鄂尔多斯市信用主管部门，推动信用评价结果在行政许可、资质认定、招标投标、政府采购、评优创先、金融服务、财政补贴等方面中的广泛应用，促进相关市场主体和从业人员不断提升诚信意识，持续增强信用管理水平。</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仿宋_GB2312" w:hAnsi="方正仿宋_GB2312" w:eastAsia="方正仿宋_GB2312" w:cs="方正仿宋_GB2312"/>
          <w:b/>
          <w:bCs/>
          <w:spacing w:val="-11"/>
          <w:sz w:val="32"/>
          <w:szCs w:val="32"/>
        </w:rPr>
      </w:pPr>
      <w:r>
        <w:rPr>
          <w:rFonts w:hint="eastAsia" w:ascii="黑体" w:hAnsi="黑体" w:eastAsia="黑体" w:cs="黑体"/>
          <w:spacing w:val="-11"/>
          <w:sz w:val="32"/>
          <w:szCs w:val="32"/>
        </w:rPr>
        <w:t>第四章 权益保护</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方正仿宋_GB2312" w:hAnsi="方正仿宋_GB2312" w:eastAsia="方正仿宋_GB2312" w:cs="方正仿宋_GB2312"/>
          <w:spacing w:val="-11"/>
          <w:sz w:val="32"/>
          <w:szCs w:val="32"/>
        </w:rPr>
      </w:pPr>
      <w:r>
        <w:rPr>
          <w:rFonts w:hint="eastAsia" w:ascii="黑体" w:hAnsi="黑体" w:eastAsia="黑体" w:cs="黑体"/>
          <w:spacing w:val="-11"/>
          <w:sz w:val="32"/>
          <w:szCs w:val="32"/>
        </w:rPr>
        <w:t>第十四条</w:t>
      </w:r>
      <w:r>
        <w:rPr>
          <w:rFonts w:hint="eastAsia" w:ascii="方正仿宋_GB2312" w:hAnsi="方正仿宋_GB2312" w:eastAsia="方正仿宋_GB2312" w:cs="方正仿宋_GB2312"/>
          <w:b/>
          <w:bCs/>
          <w:spacing w:val="-11"/>
          <w:sz w:val="32"/>
          <w:szCs w:val="32"/>
        </w:rPr>
        <w:t xml:space="preserve">  </w:t>
      </w:r>
      <w:r>
        <w:rPr>
          <w:rFonts w:hint="eastAsia" w:ascii="仿宋_GB2312" w:hAnsi="仿宋_GB2312" w:eastAsia="仿宋_GB2312" w:cs="仿宋_GB2312"/>
          <w:spacing w:val="-17"/>
          <w:sz w:val="32"/>
          <w:szCs w:val="32"/>
        </w:rPr>
        <w:t>信用评价结果在鄂尔多斯市商务局官方平台及“信用中国（鄂尔多斯）”网站公示，市场主体对初评结果有异议的，可在15个工作日内提出复核申请。</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spacing w:val="-11"/>
          <w:sz w:val="32"/>
          <w:szCs w:val="32"/>
        </w:rPr>
      </w:pPr>
      <w:bookmarkStart w:id="5" w:name="_Hlk192151531"/>
      <w:r>
        <w:rPr>
          <w:rFonts w:hint="eastAsia" w:ascii="黑体" w:hAnsi="黑体" w:eastAsia="黑体" w:cs="黑体"/>
          <w:spacing w:val="-11"/>
          <w:sz w:val="32"/>
          <w:szCs w:val="32"/>
        </w:rPr>
        <w:t>第十五条</w:t>
      </w:r>
      <w:bookmarkEnd w:id="5"/>
      <w:r>
        <w:rPr>
          <w:rFonts w:hint="eastAsia" w:ascii="方正仿宋_GB2312" w:hAnsi="方正仿宋_GB2312" w:eastAsia="方正仿宋_GB2312" w:cs="方正仿宋_GB2312"/>
          <w:b/>
          <w:bCs/>
          <w:spacing w:val="-11"/>
          <w:sz w:val="32"/>
          <w:szCs w:val="32"/>
        </w:rPr>
        <w:t xml:space="preserve">  </w:t>
      </w:r>
      <w:r>
        <w:rPr>
          <w:rFonts w:hint="eastAsia" w:ascii="仿宋_GB2312" w:hAnsi="仿宋_GB2312" w:eastAsia="仿宋_GB2312" w:cs="仿宋_GB2312"/>
          <w:spacing w:val="-17"/>
          <w:sz w:val="32"/>
          <w:szCs w:val="32"/>
        </w:rPr>
        <w:t>商务主管部门应在收到异议申请后7个工作日内完成核查，并向市场主体反馈核查结果。</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spacing w:val="-11"/>
          <w:sz w:val="32"/>
          <w:szCs w:val="32"/>
        </w:rPr>
      </w:pPr>
      <w:bookmarkStart w:id="6" w:name="_Hlk192152250"/>
      <w:r>
        <w:rPr>
          <w:rFonts w:hint="eastAsia" w:ascii="黑体" w:hAnsi="黑体" w:eastAsia="黑体" w:cs="黑体"/>
          <w:spacing w:val="-11"/>
          <w:sz w:val="32"/>
          <w:szCs w:val="32"/>
        </w:rPr>
        <w:t>第十六条</w:t>
      </w:r>
      <w:bookmarkEnd w:id="6"/>
      <w:r>
        <w:rPr>
          <w:rFonts w:hint="eastAsia" w:ascii="方正仿宋_GB2312" w:hAnsi="方正仿宋_GB2312" w:eastAsia="方正仿宋_GB2312" w:cs="方正仿宋_GB2312"/>
          <w:b/>
          <w:bCs/>
          <w:spacing w:val="-11"/>
          <w:sz w:val="32"/>
          <w:szCs w:val="32"/>
        </w:rPr>
        <w:t xml:space="preserve">  </w:t>
      </w:r>
      <w:r>
        <w:rPr>
          <w:rFonts w:hint="eastAsia" w:ascii="仿宋_GB2312" w:hAnsi="仿宋_GB2312" w:eastAsia="仿宋_GB2312" w:cs="仿宋_GB2312"/>
          <w:spacing w:val="-17"/>
          <w:sz w:val="32"/>
          <w:szCs w:val="32"/>
        </w:rPr>
        <w:t>对信用初评结果无异议的，或者完成异议处理的，鄂尔多斯市商务局应当形成最终的信用评价结果，并在鄂尔多斯市商务局官方平台和“信用中国（鄂尔多斯）”网站进行公示。</w:t>
      </w:r>
    </w:p>
    <w:p>
      <w:pPr>
        <w:keepNext w:val="0"/>
        <w:keepLines w:val="0"/>
        <w:pageBreakBefore w:val="0"/>
        <w:widowControl w:val="0"/>
        <w:kinsoku/>
        <w:wordWrap/>
        <w:overflowPunct/>
        <w:topLinePunct w:val="0"/>
        <w:autoSpaceDE/>
        <w:autoSpaceDN/>
        <w:bidi w:val="0"/>
        <w:adjustRightInd/>
        <w:snapToGrid/>
        <w:spacing w:line="560" w:lineRule="exact"/>
        <w:ind w:firstLine="598" w:firstLineChars="200"/>
        <w:textAlignment w:val="auto"/>
        <w:rPr>
          <w:rFonts w:hint="eastAsia" w:ascii="方正仿宋_GB2312" w:hAnsi="方正仿宋_GB2312" w:eastAsia="方正仿宋_GB2312" w:cs="方正仿宋_GB2312"/>
          <w:spacing w:val="-17"/>
          <w:sz w:val="32"/>
          <w:szCs w:val="32"/>
        </w:rPr>
      </w:pPr>
      <w:r>
        <w:rPr>
          <w:rFonts w:hint="eastAsia" w:ascii="方正仿宋_GB2312" w:hAnsi="方正仿宋_GB2312" w:eastAsia="方正仿宋_GB2312" w:cs="方正仿宋_GB2312"/>
          <w:b/>
          <w:bCs/>
          <w:spacing w:val="-11"/>
          <w:sz w:val="32"/>
          <w:szCs w:val="32"/>
        </w:rPr>
        <w:t xml:space="preserve">第十七条  </w:t>
      </w:r>
      <w:r>
        <w:rPr>
          <w:rFonts w:hint="eastAsia" w:ascii="仿宋_GB2312" w:hAnsi="仿宋_GB2312" w:eastAsia="仿宋_GB2312" w:cs="仿宋_GB2312"/>
          <w:spacing w:val="-17"/>
          <w:sz w:val="32"/>
          <w:szCs w:val="32"/>
        </w:rPr>
        <w:t>存在不良公共信用记录的市场主体可通过“信用中国（鄂尔多斯）”网站申请修复。经审核符合条件的，相关部门应当及时做出同意信用修复的决定，并将修复完成信息同步至相关平台、部门。信用评价实施单位应根据调整后信用信息，对市场主体重新进行信用评定。重新评定的评价分值影响信用等级，应通过鄂尔多斯市商务局官方平台及“信用中国（鄂尔多斯）” 网站公示更新后的信用等级。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2312" w:hAnsi="方正仿宋_GB2312" w:eastAsia="方正仿宋_GB2312" w:cs="方正仿宋_GB2312"/>
          <w:b/>
          <w:bCs/>
          <w:spacing w:val="-11"/>
          <w:sz w:val="32"/>
          <w:szCs w:val="32"/>
        </w:rPr>
      </w:pPr>
      <w:r>
        <w:rPr>
          <w:rFonts w:hint="eastAsia" w:ascii="黑体" w:hAnsi="黑体" w:eastAsia="黑体" w:cs="黑体"/>
          <w:spacing w:val="-11"/>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spacing w:val="-17"/>
          <w:sz w:val="32"/>
          <w:szCs w:val="32"/>
        </w:rPr>
      </w:pPr>
      <w:r>
        <w:rPr>
          <w:rFonts w:hint="eastAsia" w:ascii="黑体" w:hAnsi="黑体" w:eastAsia="黑体" w:cs="黑体"/>
          <w:spacing w:val="-11"/>
          <w:sz w:val="32"/>
          <w:szCs w:val="32"/>
        </w:rPr>
        <w:t>第十八条</w:t>
      </w:r>
      <w:r>
        <w:rPr>
          <w:rFonts w:hint="eastAsia" w:ascii="方正仿宋_GB2312" w:hAnsi="方正仿宋_GB2312" w:eastAsia="方正仿宋_GB2312" w:cs="方正仿宋_GB2312"/>
          <w:b/>
          <w:bCs/>
          <w:spacing w:val="-11"/>
          <w:sz w:val="32"/>
          <w:szCs w:val="32"/>
        </w:rPr>
        <w:t xml:space="preserve">  </w:t>
      </w:r>
      <w:r>
        <w:rPr>
          <w:rFonts w:hint="eastAsia" w:ascii="仿宋_GB2312" w:hAnsi="仿宋_GB2312" w:eastAsia="仿宋_GB2312" w:cs="仿宋_GB2312"/>
          <w:spacing w:val="-17"/>
          <w:sz w:val="32"/>
          <w:szCs w:val="32"/>
        </w:rPr>
        <w:t>鄂尔多斯市商务局负责信用分级分类管理统筹工作，各旗区商务主管部门及受托的第三方机构或行业组织负责相关工作的具体实施和落实。</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_GB2312" w:hAnsi="仿宋_GB2312" w:eastAsia="仿宋_GB2312" w:cs="仿宋_GB2312"/>
          <w:spacing w:val="-11"/>
          <w:sz w:val="32"/>
          <w:szCs w:val="32"/>
        </w:rPr>
      </w:pPr>
      <w:r>
        <w:rPr>
          <w:rFonts w:hint="eastAsia" w:ascii="黑体" w:hAnsi="黑体" w:eastAsia="黑体" w:cs="黑体"/>
          <w:spacing w:val="-11"/>
          <w:sz w:val="32"/>
          <w:szCs w:val="32"/>
        </w:rPr>
        <w:t>第十九条</w:t>
      </w:r>
      <w:r>
        <w:rPr>
          <w:rFonts w:hint="eastAsia" w:ascii="方正仿宋_GB2312" w:hAnsi="方正仿宋_GB2312" w:eastAsia="方正仿宋_GB2312" w:cs="方正仿宋_GB2312"/>
          <w:b/>
          <w:bCs/>
          <w:spacing w:val="-11"/>
          <w:sz w:val="32"/>
          <w:szCs w:val="32"/>
        </w:rPr>
        <w:t xml:space="preserve">  </w:t>
      </w:r>
      <w:r>
        <w:rPr>
          <w:rFonts w:hint="eastAsia" w:ascii="仿宋_GB2312" w:hAnsi="仿宋_GB2312" w:eastAsia="仿宋_GB2312" w:cs="仿宋_GB2312"/>
          <w:spacing w:val="-17"/>
          <w:sz w:val="32"/>
          <w:szCs w:val="32"/>
        </w:rPr>
        <w:t>开展信用评价期间，工作人员违法本办法规定，滥用职权、徇私舞弊、玩忽职守的，依法依规追究相关责任人责任。</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方正仿宋_GB2312" w:hAnsi="方正仿宋_GB2312" w:eastAsia="方正仿宋_GB2312" w:cs="方正仿宋_GB2312"/>
          <w:spacing w:val="-11"/>
          <w:sz w:val="32"/>
          <w:szCs w:val="32"/>
        </w:rPr>
      </w:pPr>
      <w:r>
        <w:rPr>
          <w:rFonts w:hint="eastAsia" w:ascii="黑体" w:hAnsi="黑体" w:eastAsia="黑体" w:cs="黑体"/>
          <w:spacing w:val="-11"/>
          <w:sz w:val="32"/>
          <w:szCs w:val="32"/>
        </w:rPr>
        <w:t>第二十条</w:t>
      </w:r>
      <w:r>
        <w:rPr>
          <w:rFonts w:hint="eastAsia" w:ascii="方正仿宋_GB2312" w:hAnsi="方正仿宋_GB2312" w:eastAsia="方正仿宋_GB2312" w:cs="方正仿宋_GB2312"/>
          <w:b/>
          <w:bCs/>
          <w:spacing w:val="-11"/>
          <w:sz w:val="32"/>
          <w:szCs w:val="32"/>
        </w:rPr>
        <w:t xml:space="preserve">  </w:t>
      </w:r>
      <w:r>
        <w:rPr>
          <w:rFonts w:hint="eastAsia" w:ascii="仿宋_GB2312" w:hAnsi="仿宋_GB2312" w:eastAsia="仿宋_GB2312" w:cs="仿宋_GB2312"/>
          <w:spacing w:val="-17"/>
          <w:sz w:val="32"/>
          <w:szCs w:val="32"/>
        </w:rPr>
        <w:t>本办法由鄂尔多斯市商务局负责解释。</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方正仿宋_GB2312" w:hAnsi="方正仿宋_GB2312" w:eastAsia="方正仿宋_GB2312" w:cs="方正仿宋_GB2312"/>
          <w:spacing w:val="-11"/>
          <w:sz w:val="32"/>
          <w:szCs w:val="32"/>
        </w:rPr>
      </w:pPr>
      <w:r>
        <w:rPr>
          <w:rFonts w:hint="eastAsia" w:ascii="黑体" w:hAnsi="黑体" w:eastAsia="黑体" w:cs="黑体"/>
          <w:spacing w:val="-11"/>
          <w:sz w:val="32"/>
          <w:szCs w:val="32"/>
        </w:rPr>
        <w:t>第二十一条</w:t>
      </w:r>
      <w:r>
        <w:rPr>
          <w:rFonts w:hint="eastAsia" w:ascii="方正仿宋_GB2312" w:hAnsi="方正仿宋_GB2312" w:eastAsia="方正仿宋_GB2312" w:cs="方正仿宋_GB2312"/>
          <w:b/>
          <w:bCs/>
          <w:spacing w:val="-11"/>
          <w:sz w:val="32"/>
          <w:szCs w:val="32"/>
        </w:rPr>
        <w:t xml:space="preserve">  </w:t>
      </w:r>
      <w:r>
        <w:rPr>
          <w:rFonts w:hint="eastAsia" w:ascii="仿宋_GB2312" w:hAnsi="仿宋_GB2312" w:eastAsia="仿宋_GB2312" w:cs="仿宋_GB2312"/>
          <w:spacing w:val="-17"/>
          <w:sz w:val="32"/>
          <w:szCs w:val="32"/>
        </w:rPr>
        <w:t>本办法自发布之日起实施。</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方正仿宋_GB2312" w:hAnsi="方正仿宋_GB2312" w:eastAsia="方正仿宋_GB2312" w:cs="方正仿宋_GB2312"/>
          <w:spacing w:val="-11"/>
          <w:sz w:val="32"/>
          <w:szCs w:val="32"/>
        </w:rPr>
      </w:pPr>
    </w:p>
    <w:p>
      <w:pPr>
        <w:pStyle w:val="31"/>
        <w:numPr>
          <w:numId w:val="0"/>
        </w:numPr>
        <w:ind w:leftChars="0"/>
        <w:rPr>
          <w:rFonts w:hint="eastAsia" w:ascii="仿宋_GB2312" w:hAnsi="仿宋_GB2312" w:eastAsia="仿宋_GB2312" w:cs="仿宋_GB2312"/>
          <w:spacing w:val="-17"/>
          <w:sz w:val="32"/>
          <w:szCs w:val="32"/>
        </w:rPr>
      </w:pPr>
    </w:p>
    <w:sectPr>
      <w:footerReference r:id="rId3" w:type="default"/>
      <w:pgSz w:w="11906" w:h="16838"/>
      <w:pgMar w:top="2098" w:right="1474" w:bottom="1984" w:left="1587" w:header="680" w:footer="850"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等线 Light">
    <w:altName w:val="汉仪中宋简"/>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等线 Light">
    <w:altName w:val="仿宋_GB2312"/>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4B2C9"/>
    <w:multiLevelType w:val="singleLevel"/>
    <w:tmpl w:val="9AC4B2C9"/>
    <w:lvl w:ilvl="0" w:tentative="0">
      <w:start w:val="1"/>
      <w:numFmt w:val="chineseCounting"/>
      <w:suff w:val="nothing"/>
      <w:lvlText w:val="（%1）"/>
      <w:lvlJc w:val="left"/>
      <w:pPr>
        <w:ind w:left="0" w:firstLine="420"/>
      </w:pPr>
      <w:rPr>
        <w:rFonts w:hint="eastAsia"/>
      </w:rPr>
    </w:lvl>
  </w:abstractNum>
  <w:abstractNum w:abstractNumId="1">
    <w:nsid w:val="E7DB6E3B"/>
    <w:multiLevelType w:val="singleLevel"/>
    <w:tmpl w:val="E7DB6E3B"/>
    <w:lvl w:ilvl="0" w:tentative="0">
      <w:start w:val="1"/>
      <w:numFmt w:val="chineseCounting"/>
      <w:suff w:val="nothing"/>
      <w:lvlText w:val="（%1）"/>
      <w:lvlJc w:val="left"/>
      <w:pPr>
        <w:ind w:left="0" w:firstLine="420"/>
      </w:pPr>
      <w:rPr>
        <w:rFonts w:hint="eastAsia"/>
        <w:b w:val="0"/>
        <w:bCs w:val="0"/>
        <w:sz w:val="31"/>
        <w:szCs w:val="31"/>
      </w:rPr>
    </w:lvl>
  </w:abstractNum>
  <w:abstractNum w:abstractNumId="2">
    <w:nsid w:val="1D484997"/>
    <w:multiLevelType w:val="singleLevel"/>
    <w:tmpl w:val="1D484997"/>
    <w:lvl w:ilvl="0" w:tentative="0">
      <w:start w:val="1"/>
      <w:numFmt w:val="chineseCounting"/>
      <w:suff w:val="nothing"/>
      <w:lvlText w:val="（%1）"/>
      <w:lvlJc w:val="left"/>
      <w:pPr>
        <w:ind w:left="0" w:firstLine="420"/>
      </w:pPr>
      <w:rPr>
        <w:rFonts w:hint="eastAsia"/>
        <w:sz w:val="31"/>
        <w:szCs w:val="31"/>
      </w:rPr>
    </w:lvl>
  </w:abstractNum>
  <w:abstractNum w:abstractNumId="3">
    <w:nsid w:val="5CADE653"/>
    <w:multiLevelType w:val="singleLevel"/>
    <w:tmpl w:val="5CADE653"/>
    <w:lvl w:ilvl="0" w:tentative="0">
      <w:start w:val="1"/>
      <w:numFmt w:val="chineseCounting"/>
      <w:suff w:val="nothing"/>
      <w:lvlText w:val="（%1）"/>
      <w:lvlJc w:val="left"/>
      <w:pPr>
        <w:ind w:left="0" w:firstLine="420"/>
      </w:pPr>
      <w:rPr>
        <w:rFonts w:hint="eastAsia"/>
        <w:b w:val="0"/>
        <w:bCs w:val="0"/>
        <w:sz w:val="31"/>
        <w:szCs w:val="31"/>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0C"/>
    <w:rsid w:val="00021017"/>
    <w:rsid w:val="0012013C"/>
    <w:rsid w:val="001E6B00"/>
    <w:rsid w:val="00201BF9"/>
    <w:rsid w:val="00210E2D"/>
    <w:rsid w:val="0022636E"/>
    <w:rsid w:val="00337C80"/>
    <w:rsid w:val="003B271F"/>
    <w:rsid w:val="005A5C42"/>
    <w:rsid w:val="005B1251"/>
    <w:rsid w:val="005C4F55"/>
    <w:rsid w:val="00650688"/>
    <w:rsid w:val="00661C9F"/>
    <w:rsid w:val="0068132A"/>
    <w:rsid w:val="006829B9"/>
    <w:rsid w:val="006B037D"/>
    <w:rsid w:val="006E5759"/>
    <w:rsid w:val="00702D38"/>
    <w:rsid w:val="00712383"/>
    <w:rsid w:val="00793E86"/>
    <w:rsid w:val="007A559A"/>
    <w:rsid w:val="007B762F"/>
    <w:rsid w:val="007D7915"/>
    <w:rsid w:val="00992F34"/>
    <w:rsid w:val="009A0558"/>
    <w:rsid w:val="009A54F1"/>
    <w:rsid w:val="00A02A6B"/>
    <w:rsid w:val="00A107E2"/>
    <w:rsid w:val="00A9641C"/>
    <w:rsid w:val="00B74770"/>
    <w:rsid w:val="00BB0BD3"/>
    <w:rsid w:val="00BB0C0B"/>
    <w:rsid w:val="00BB38F5"/>
    <w:rsid w:val="00D27705"/>
    <w:rsid w:val="00D50E3A"/>
    <w:rsid w:val="00DA2FD1"/>
    <w:rsid w:val="00DB3B88"/>
    <w:rsid w:val="00DE5647"/>
    <w:rsid w:val="00E14DE1"/>
    <w:rsid w:val="00E5417F"/>
    <w:rsid w:val="00F01F05"/>
    <w:rsid w:val="00F31AEA"/>
    <w:rsid w:val="00F42E0C"/>
    <w:rsid w:val="01877B89"/>
    <w:rsid w:val="01FD7E4B"/>
    <w:rsid w:val="02DF39F5"/>
    <w:rsid w:val="03CC5D27"/>
    <w:rsid w:val="04B862AB"/>
    <w:rsid w:val="060F639F"/>
    <w:rsid w:val="07061550"/>
    <w:rsid w:val="09BE6112"/>
    <w:rsid w:val="0A2D3298"/>
    <w:rsid w:val="10466E61"/>
    <w:rsid w:val="105E41AB"/>
    <w:rsid w:val="14321BD6"/>
    <w:rsid w:val="15356656"/>
    <w:rsid w:val="1594066F"/>
    <w:rsid w:val="164C7D80"/>
    <w:rsid w:val="167069E6"/>
    <w:rsid w:val="17B62B1E"/>
    <w:rsid w:val="17CF598E"/>
    <w:rsid w:val="18090EA0"/>
    <w:rsid w:val="18E216F1"/>
    <w:rsid w:val="18E45469"/>
    <w:rsid w:val="19212219"/>
    <w:rsid w:val="1BC81072"/>
    <w:rsid w:val="1BF7582C"/>
    <w:rsid w:val="1CA80E37"/>
    <w:rsid w:val="1CAC44F0"/>
    <w:rsid w:val="20711CD8"/>
    <w:rsid w:val="2197751D"/>
    <w:rsid w:val="21D73DBD"/>
    <w:rsid w:val="22401962"/>
    <w:rsid w:val="22AA3280"/>
    <w:rsid w:val="22F56C5B"/>
    <w:rsid w:val="2322550C"/>
    <w:rsid w:val="25827827"/>
    <w:rsid w:val="26234D89"/>
    <w:rsid w:val="278B57CE"/>
    <w:rsid w:val="28277120"/>
    <w:rsid w:val="29820AB2"/>
    <w:rsid w:val="2B2F07C6"/>
    <w:rsid w:val="2B4A3852"/>
    <w:rsid w:val="2B563FA5"/>
    <w:rsid w:val="2C210A56"/>
    <w:rsid w:val="2C477D91"/>
    <w:rsid w:val="2C7E27DB"/>
    <w:rsid w:val="2C7F752B"/>
    <w:rsid w:val="2CFC103E"/>
    <w:rsid w:val="2D614E83"/>
    <w:rsid w:val="2D80355B"/>
    <w:rsid w:val="2EED4C20"/>
    <w:rsid w:val="319475D5"/>
    <w:rsid w:val="33AD2BD0"/>
    <w:rsid w:val="34A35D81"/>
    <w:rsid w:val="34F211E2"/>
    <w:rsid w:val="355C665B"/>
    <w:rsid w:val="3B0C4680"/>
    <w:rsid w:val="3C29300F"/>
    <w:rsid w:val="3C33736D"/>
    <w:rsid w:val="3C44609B"/>
    <w:rsid w:val="3C924554"/>
    <w:rsid w:val="3D3B124C"/>
    <w:rsid w:val="3E587BDC"/>
    <w:rsid w:val="40B82BB4"/>
    <w:rsid w:val="43E91A02"/>
    <w:rsid w:val="457E617A"/>
    <w:rsid w:val="47C6205A"/>
    <w:rsid w:val="48855A71"/>
    <w:rsid w:val="49B760FE"/>
    <w:rsid w:val="4A9401EE"/>
    <w:rsid w:val="4BB46D99"/>
    <w:rsid w:val="4D8E1944"/>
    <w:rsid w:val="4E604FB7"/>
    <w:rsid w:val="4FAA7FE7"/>
    <w:rsid w:val="4FB21842"/>
    <w:rsid w:val="4FF534DD"/>
    <w:rsid w:val="50F25C6E"/>
    <w:rsid w:val="510C6D30"/>
    <w:rsid w:val="51FF6894"/>
    <w:rsid w:val="53966D85"/>
    <w:rsid w:val="53E977FC"/>
    <w:rsid w:val="564725B8"/>
    <w:rsid w:val="573C7C43"/>
    <w:rsid w:val="57961A49"/>
    <w:rsid w:val="5AAC50E0"/>
    <w:rsid w:val="5BE508A9"/>
    <w:rsid w:val="5C10694A"/>
    <w:rsid w:val="5C757E7F"/>
    <w:rsid w:val="5CA4043B"/>
    <w:rsid w:val="5CAB36E0"/>
    <w:rsid w:val="5D156F6C"/>
    <w:rsid w:val="5F2E2567"/>
    <w:rsid w:val="5F3D27AA"/>
    <w:rsid w:val="5F73EDB5"/>
    <w:rsid w:val="6023254D"/>
    <w:rsid w:val="612754C0"/>
    <w:rsid w:val="626544F2"/>
    <w:rsid w:val="633D3D02"/>
    <w:rsid w:val="636447A9"/>
    <w:rsid w:val="64A15589"/>
    <w:rsid w:val="64C80D68"/>
    <w:rsid w:val="64F61D79"/>
    <w:rsid w:val="65401246"/>
    <w:rsid w:val="65C36A54"/>
    <w:rsid w:val="66846F11"/>
    <w:rsid w:val="6809591F"/>
    <w:rsid w:val="68ED5241"/>
    <w:rsid w:val="6A026ACA"/>
    <w:rsid w:val="6A8B6AC0"/>
    <w:rsid w:val="6C16685D"/>
    <w:rsid w:val="6DE05374"/>
    <w:rsid w:val="7040659E"/>
    <w:rsid w:val="713A05D2"/>
    <w:rsid w:val="72031631"/>
    <w:rsid w:val="728E1843"/>
    <w:rsid w:val="74D11CCC"/>
    <w:rsid w:val="7735228D"/>
    <w:rsid w:val="77F377D7"/>
    <w:rsid w:val="7A3C3932"/>
    <w:rsid w:val="7BC02341"/>
    <w:rsid w:val="7BF72207"/>
    <w:rsid w:val="7C8233E8"/>
    <w:rsid w:val="7CEA3B1A"/>
    <w:rsid w:val="7DB163E5"/>
    <w:rsid w:val="7EEB5927"/>
    <w:rsid w:val="7FBB179D"/>
    <w:rsid w:val="B133F135"/>
    <w:rsid w:val="EA3FB1D2"/>
    <w:rsid w:val="FD8429A0"/>
    <w:rsid w:val="FF5A4487"/>
    <w:rsid w:val="FF743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jc w:val="left"/>
    </w:pPr>
    <w:rPr>
      <w:sz w:val="18"/>
      <w:szCs w:val="18"/>
    </w:rPr>
  </w:style>
  <w:style w:type="paragraph" w:styleId="12">
    <w:name w:val="header"/>
    <w:basedOn w:val="1"/>
    <w:link w:val="36"/>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6">
    <w:name w:val="Table Grid"/>
    <w:basedOn w:val="1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szCs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明显参考1"/>
    <w:basedOn w:val="17"/>
    <w:qFormat/>
    <w:uiPriority w:val="32"/>
    <w:rPr>
      <w:b/>
      <w:bCs/>
      <w:smallCaps/>
      <w:color w:val="2F5597" w:themeColor="accent1" w:themeShade="BF"/>
      <w:spacing w:val="5"/>
    </w:rPr>
  </w:style>
  <w:style w:type="character" w:customStyle="1" w:styleId="36">
    <w:name w:val="页眉 字符"/>
    <w:basedOn w:val="17"/>
    <w:link w:val="12"/>
    <w:qFormat/>
    <w:uiPriority w:val="99"/>
    <w:rPr>
      <w:sz w:val="18"/>
      <w:szCs w:val="18"/>
    </w:rPr>
  </w:style>
  <w:style w:type="character" w:customStyle="1" w:styleId="37">
    <w:name w:val="页脚 字符"/>
    <w:basedOn w:val="17"/>
    <w:link w:val="11"/>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2483</Words>
  <Characters>2527</Characters>
  <Lines>18</Lines>
  <Paragraphs>5</Paragraphs>
  <TotalTime>436</TotalTime>
  <ScaleCrop>false</ScaleCrop>
  <LinksUpToDate>false</LinksUpToDate>
  <CharactersWithSpaces>2576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2025-03-06T01:28:00Z</dcterms:created>
  <dc:creator>14009</dc:creator>
  <cp:lastModifiedBy>greatwall</cp:lastModifiedBy>
  <dcterms:modified xsi:type="dcterms:W3CDTF">2025-03-08T02:14:54Z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eyJoZGlkIjoiYWY5ZDg4ZGE3OWZiNTVmODg1MDc2MzFkMzU4OWY4NzkiLCJ1c2VySWQiOiIzMDIxMzE0OTQifQ==</vt:lpwstr>
  </property>
  <property fmtid="{D5CDD505-2E9C-101B-9397-08002B2CF9AE}" pid="3" name="KSOProductBuildVer">
    <vt:lpwstr>2052-11.8.2.10386</vt:lpwstr>
  </property>
  <property fmtid="{D5CDD505-2E9C-101B-9397-08002B2CF9AE}" pid="4" name="ICV">
    <vt:lpwstr>4A2B4624CAB240E0A5F774F42A602C1E_12</vt:lpwstr>
  </property>
</Properties>
</file>