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0"/>
          <w:kern w:val="0"/>
          <w:sz w:val="44"/>
          <w:szCs w:val="44"/>
          <w:lang w:val="en-US" w:eastAsia="zh-CN" w:bidi="ar-SA"/>
        </w:rPr>
      </w:pPr>
      <w:r>
        <w:rPr>
          <w:rFonts w:hint="eastAsia" w:ascii="方正小标宋简体" w:hAnsi="Calibri" w:eastAsia="方正小标宋简体" w:cs="Times New Roman"/>
          <w:color w:val="auto"/>
          <w:spacing w:val="0"/>
          <w:kern w:val="0"/>
          <w:sz w:val="44"/>
          <w:szCs w:val="44"/>
          <w:lang w:val="en-US" w:eastAsia="zh-CN" w:bidi="ar-SA"/>
        </w:rPr>
        <w:t>鄂尔多斯市家政服务业市场主体信用分级分类监管信用评价方案（征求意见稿）</w:t>
      </w:r>
    </w:p>
    <w:p>
      <w:pPr>
        <w:jc w:val="center"/>
        <w:rPr>
          <w:rFonts w:hint="eastAsia" w:ascii="黑体" w:hAnsi="黑体" w:eastAsia="黑体" w:cs="黑体"/>
          <w:color w:val="auto"/>
          <w:sz w:val="36"/>
          <w:szCs w:val="36"/>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一、受评主体</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内蒙古自治区鄂尔多斯市范围内从事和提供以家庭为服务对象的烹饪、保洁、搬家、家庭教育、儿童看护、孕产妇护理、婴幼儿护理、老人和病人护理等有偿服务的市场主体。</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二、信用等级设定与结论更新</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受评主体的信用评价结果，按照信用分值从高到低划分为A、B、C、D四个等级。信用等级A、B、C、D四个等级释义如下</w:t>
      </w:r>
      <w:r>
        <w:rPr>
          <w:rFonts w:hint="eastAsia" w:ascii="仿宋_GB2312" w:hAnsi="仿宋_GB2312" w:eastAsia="仿宋_GB2312" w:cs="仿宋_GB2312"/>
          <w:color w:val="auto"/>
          <w:sz w:val="32"/>
          <w:szCs w:val="32"/>
          <w:highlight w:val="none"/>
          <w:lang w:eastAsia="zh-CN"/>
        </w:rPr>
        <w:t>：</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00"/>
        <w:gridCol w:w="2070"/>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等级</w:t>
            </w:r>
          </w:p>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符号</w:t>
            </w:r>
          </w:p>
        </w:tc>
        <w:tc>
          <w:tcPr>
            <w:tcW w:w="150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等级含义</w:t>
            </w:r>
          </w:p>
        </w:tc>
        <w:tc>
          <w:tcPr>
            <w:tcW w:w="207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分值范围</w:t>
            </w:r>
          </w:p>
        </w:tc>
        <w:tc>
          <w:tcPr>
            <w:tcW w:w="4596"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w:t>
            </w:r>
          </w:p>
        </w:tc>
        <w:tc>
          <w:tcPr>
            <w:tcW w:w="150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信用良好</w:t>
            </w:r>
          </w:p>
        </w:tc>
        <w:tc>
          <w:tcPr>
            <w:tcW w:w="2070" w:type="dxa"/>
          </w:tcPr>
          <w:p>
            <w:pPr>
              <w:pStyle w:val="11"/>
              <w:ind w:firstLine="0" w:firstLineChars="0"/>
              <w:jc w:val="center"/>
              <w:rPr>
                <w:rFonts w:hint="eastAsia" w:ascii="仿宋_GB2312" w:hAnsi="仿宋_GB2312" w:eastAsia="仿宋_GB2312" w:cs="仿宋_GB2312"/>
                <w:color w:val="auto"/>
                <w:sz w:val="24"/>
                <w:szCs w:val="24"/>
                <w:highlight w:val="none"/>
              </w:rPr>
            </w:pPr>
            <w:bookmarkStart w:id="0" w:name="OLE_LINK1"/>
            <w:r>
              <w:rPr>
                <w:rFonts w:hint="eastAsia" w:ascii="仿宋_GB2312" w:hAnsi="仿宋_GB2312" w:eastAsia="仿宋_GB2312" w:cs="仿宋_GB2312"/>
                <w:color w:val="auto"/>
                <w:sz w:val="24"/>
                <w:szCs w:val="24"/>
                <w:highlight w:val="none"/>
              </w:rPr>
              <w:t>【800-1000】</w:t>
            </w:r>
            <w:bookmarkEnd w:id="0"/>
          </w:p>
        </w:tc>
        <w:tc>
          <w:tcPr>
            <w:tcW w:w="4596"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表示该主体在该年度的信用风险低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w:t>
            </w:r>
          </w:p>
        </w:tc>
        <w:tc>
          <w:tcPr>
            <w:tcW w:w="150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信用较好</w:t>
            </w:r>
          </w:p>
        </w:tc>
        <w:tc>
          <w:tcPr>
            <w:tcW w:w="207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【600-799】</w:t>
            </w:r>
          </w:p>
        </w:tc>
        <w:tc>
          <w:tcPr>
            <w:tcW w:w="4596"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表示该主体在该年度的信用风险较低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w:t>
            </w:r>
          </w:p>
        </w:tc>
        <w:tc>
          <w:tcPr>
            <w:tcW w:w="150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信用较差</w:t>
            </w:r>
          </w:p>
        </w:tc>
        <w:tc>
          <w:tcPr>
            <w:tcW w:w="207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【350-599】</w:t>
            </w:r>
          </w:p>
        </w:tc>
        <w:tc>
          <w:tcPr>
            <w:tcW w:w="4596"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表示该主体在该年度的信用风险较高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w:t>
            </w:r>
          </w:p>
        </w:tc>
        <w:tc>
          <w:tcPr>
            <w:tcW w:w="150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严重失信</w:t>
            </w:r>
          </w:p>
        </w:tc>
        <w:tc>
          <w:tcPr>
            <w:tcW w:w="2070"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0 -349】</w:t>
            </w:r>
          </w:p>
        </w:tc>
        <w:tc>
          <w:tcPr>
            <w:tcW w:w="4596" w:type="dxa"/>
          </w:tcPr>
          <w:p>
            <w:pPr>
              <w:pStyle w:val="11"/>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表示该主体在该年度的信用风险高</w:t>
            </w:r>
          </w:p>
        </w:tc>
      </w:tr>
    </w:tbl>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评价结果实行“年度定期更新+动态管理”相结合的更新准则，原则上每年开展一次全面评估工作。其中，对触发信用熔断情形的受评主体，按照相关程序对相关主体信用等级作不定期调整；对历史年度未纳入评估范围的存量主体，采取分批分期方式开展信用等级补评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三、信用评价参与条件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成立时间不满6个月的家政服务市场主体，暂不纳入信用评价。成立时间满12个月的家政服务市场主体，均自动纳入信用评价范围。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成立时间满6个月但未满12个月的家政服务市场主体，可自愿申请参与信用评价。在无不良公共信用记录的前提下，其初始信用等级暂定为 B 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四、信用评价方法</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成立时间满12个月的家政服务市场主体信用评价工作采用等级熔断和指标评分相结合的方式进行。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受评主体符合《家政服务业市场主体等级熔断指标项》（</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）时，直接判定其信用等级。等级熔断指标法采用的时间节点数据，不仅包括受评主体上一年度的的信用信息，而且涵盖上一年度至信用评价工作实施前的相关指标。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受评主体不存在等级熔断指标项时，按照指标评分法，判定其信用等级。指标评分法总分值由公共信用信息记录赋分分值（60%）和信用评价指标分值（40%）构成。</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评主体在受评年度期间，无不良公共信用记录的，公共信用信息记录赋分分值按照100%计算；存在1-5条不良公共信用记录的，公共信用信息记录赋分分值按照90%计算；存在6条及以上不良公共信用记录的，公共信用信息记录赋分分值按照80%计算。公共信用信息记录的相关数据以信用中国（鄂尔多斯）网站为主，其他政府部门公共信用信息为辅。</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信用评价指标包括计分指标和扣分指标，所采用的评价数据，仅基于受评主体上一个自然年度的信用信息。信用评价具体评价指标详见《家政服务业市场主体信用评价指标（计分项）》(</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)、《家政服务业市场主体信用评价指标（扣分项）》（</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p>
    <w:p>
      <w:pPr>
        <w:pStyle w:val="11"/>
        <w:ind w:firstLine="565" w:firstLineChars="202"/>
        <w:rPr>
          <w:rFonts w:hint="eastAsia" w:ascii="仿宋" w:hAnsi="仿宋" w:eastAsia="仿宋" w:cs="仿宋_GB2312"/>
          <w:color w:val="auto"/>
          <w:sz w:val="28"/>
          <w:szCs w:val="32"/>
          <w:highlight w:val="none"/>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附件：指标评分模型</w:t>
      </w:r>
    </w:p>
    <w:p>
      <w:pPr>
        <w:pStyle w:val="11"/>
        <w:ind w:firstLine="565" w:firstLineChars="202"/>
        <w:rPr>
          <w:rFonts w:hint="eastAsia" w:ascii="仿宋" w:hAnsi="仿宋" w:eastAsia="仿宋"/>
          <w:color w:val="auto"/>
          <w:sz w:val="28"/>
          <w:szCs w:val="32"/>
          <w:highlight w:val="none"/>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大标宋简体">
    <w:altName w:val="方正书宋_GBK"/>
    <w:panose1 w:val="00000000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A3"/>
    <w:rsid w:val="00021DEB"/>
    <w:rsid w:val="00081D17"/>
    <w:rsid w:val="0008736D"/>
    <w:rsid w:val="00090B5D"/>
    <w:rsid w:val="00105F20"/>
    <w:rsid w:val="00107527"/>
    <w:rsid w:val="00120FC6"/>
    <w:rsid w:val="00152591"/>
    <w:rsid w:val="001663B5"/>
    <w:rsid w:val="00171304"/>
    <w:rsid w:val="002B15CE"/>
    <w:rsid w:val="0031228B"/>
    <w:rsid w:val="003650C1"/>
    <w:rsid w:val="00373C35"/>
    <w:rsid w:val="003A310B"/>
    <w:rsid w:val="00406F32"/>
    <w:rsid w:val="004733EB"/>
    <w:rsid w:val="004D1E18"/>
    <w:rsid w:val="004E33B6"/>
    <w:rsid w:val="00561B08"/>
    <w:rsid w:val="005918CF"/>
    <w:rsid w:val="006D0DFC"/>
    <w:rsid w:val="006F47F0"/>
    <w:rsid w:val="006F6BFE"/>
    <w:rsid w:val="00715968"/>
    <w:rsid w:val="00725137"/>
    <w:rsid w:val="00736178"/>
    <w:rsid w:val="00736189"/>
    <w:rsid w:val="00747F44"/>
    <w:rsid w:val="007F49A6"/>
    <w:rsid w:val="008525A3"/>
    <w:rsid w:val="0086773F"/>
    <w:rsid w:val="008A44DA"/>
    <w:rsid w:val="008B0F63"/>
    <w:rsid w:val="00920BA7"/>
    <w:rsid w:val="00940B18"/>
    <w:rsid w:val="00984FA1"/>
    <w:rsid w:val="00A33996"/>
    <w:rsid w:val="00A513A9"/>
    <w:rsid w:val="00A548A3"/>
    <w:rsid w:val="00A9641C"/>
    <w:rsid w:val="00AA4D9D"/>
    <w:rsid w:val="00AD4079"/>
    <w:rsid w:val="00B66505"/>
    <w:rsid w:val="00C045A1"/>
    <w:rsid w:val="00C05D59"/>
    <w:rsid w:val="00C248E4"/>
    <w:rsid w:val="00C303E3"/>
    <w:rsid w:val="00C579ED"/>
    <w:rsid w:val="00CD1C18"/>
    <w:rsid w:val="00CF0057"/>
    <w:rsid w:val="00D52E4E"/>
    <w:rsid w:val="00D70D1C"/>
    <w:rsid w:val="00D80C6B"/>
    <w:rsid w:val="00DA4817"/>
    <w:rsid w:val="00E00EDA"/>
    <w:rsid w:val="00E025E7"/>
    <w:rsid w:val="00EA2AF5"/>
    <w:rsid w:val="00EF479E"/>
    <w:rsid w:val="00F10706"/>
    <w:rsid w:val="00F132B5"/>
    <w:rsid w:val="00F45B76"/>
    <w:rsid w:val="1C196E74"/>
    <w:rsid w:val="1EB2E75F"/>
    <w:rsid w:val="29DB4A02"/>
    <w:rsid w:val="2DE563B5"/>
    <w:rsid w:val="3FEF449E"/>
    <w:rsid w:val="4895787B"/>
    <w:rsid w:val="579E6A33"/>
    <w:rsid w:val="5DFE80EF"/>
    <w:rsid w:val="DBFF7846"/>
    <w:rsid w:val="DEFDB8A0"/>
    <w:rsid w:val="EFFD7D98"/>
    <w:rsid w:val="F6B2979D"/>
    <w:rsid w:val="F757A389"/>
    <w:rsid w:val="F78AE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480" w:after="360" w:line="640" w:lineRule="atLeast"/>
      <w:jc w:val="center"/>
      <w:outlineLvl w:val="0"/>
    </w:pPr>
    <w:rPr>
      <w:rFonts w:ascii="Calibri" w:hAnsi="Calibri" w:eastAsia="方正大标宋简体" w:cs="Times New Roman"/>
      <w:color w:val="000000"/>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widowControl/>
      <w:spacing w:before="30" w:after="30" w:line="390" w:lineRule="atLeast"/>
      <w:ind w:left="30" w:right="30"/>
      <w:jc w:val="left"/>
    </w:pPr>
    <w:rPr>
      <w:rFonts w:ascii="宋体" w:hAnsi="宋体" w:cs="宋体"/>
      <w:kern w:val="0"/>
      <w:sz w:val="24"/>
    </w:rPr>
  </w:style>
  <w:style w:type="paragraph" w:styleId="7">
    <w:name w:val="Title"/>
    <w:basedOn w:val="1"/>
    <w:next w:val="3"/>
    <w:qFormat/>
    <w:uiPriority w:val="0"/>
    <w:pPr>
      <w:spacing w:before="240" w:after="60"/>
      <w:ind w:left="640" w:leftChars="200"/>
      <w:outlineLvl w:val="0"/>
    </w:pPr>
    <w:rPr>
      <w:rFonts w:ascii="Arial" w:hAnsi="Arial" w:eastAsia="仿宋_GB2312"/>
      <w:b/>
      <w:sz w:val="32"/>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1031</Words>
  <Characters>1070</Characters>
  <Lines>7</Lines>
  <Paragraphs>2</Paragraphs>
  <TotalTime>3</TotalTime>
  <ScaleCrop>false</ScaleCrop>
  <LinksUpToDate>false</LinksUpToDate>
  <CharactersWithSpaces>1074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2024-11-07T23:57:00Z</dcterms:created>
  <dc:creator>博 范</dc:creator>
  <cp:lastModifiedBy>greatwall</cp:lastModifiedBy>
  <cp:lastPrinted>2024-12-14T18:38:00Z</cp:lastPrinted>
  <dcterms:modified xsi:type="dcterms:W3CDTF">2025-03-08T02:40:35Z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90A2A988694341DCA77078914B084C94_12</vt:lpwstr>
  </property>
  <property fmtid="{D5CDD505-2E9C-101B-9397-08002B2CF9AE}" pid="4" name="KSOTemplateDocerSaveRecord">
    <vt:lpwstr>eyJoZGlkIjoiYWY5ZDg4ZGE3OWZiNTVmODg1MDc2MzFkMzU4OWY4NzkiLCJ1c2VySWQiOiIzMDIxMzE0OTQifQ==</vt:lpwstr>
  </property>
</Properties>
</file>